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E4B4F" w:rsidRDefault="00AF5400">
      <w:pPr>
        <w:jc w:val="center"/>
      </w:pPr>
      <w:r>
        <w:rPr>
          <w:b/>
          <w:color w:val="1F4E79"/>
          <w:sz w:val="36"/>
        </w:rPr>
        <w:t>GLOBUL SKILLS PLASTIC SOLUTION OOD</w:t>
      </w:r>
    </w:p>
    <w:p w:rsidR="004E4B4F" w:rsidRDefault="00AF5400">
      <w:pPr>
        <w:jc w:val="center"/>
      </w:pPr>
      <w:r>
        <w:rPr>
          <w:b/>
          <w:color w:val="1F4E79"/>
          <w:sz w:val="34"/>
        </w:rPr>
        <w:t>ПРОФЕСИОНАЛНА ЕКОЛОГИЧНА КОНЦЕПЦИЯ</w:t>
      </w:r>
      <w:r>
        <w:rPr>
          <w:b/>
          <w:color w:val="1F4E79"/>
          <w:sz w:val="34"/>
        </w:rPr>
        <w:br/>
        <w:t>ЗА ПРОЕКТА ВЪВ ВЕЛИНГРАД</w:t>
      </w:r>
    </w:p>
    <w:p w:rsidR="004E4B4F" w:rsidRDefault="00AF5400">
      <w:pPr>
        <w:jc w:val="center"/>
      </w:pPr>
      <w:r>
        <w:rPr>
          <w:i/>
          <w:sz w:val="22"/>
        </w:rPr>
        <w:t>Модерен Plastic Solution проект за техническа класификация, третиране, оползотворяване и подготовка на неопасни пластмасови материали като индустриална суровина</w:t>
      </w:r>
    </w:p>
    <w:p w:rsidR="004E4B4F" w:rsidRDefault="004E4B4F">
      <w:pPr>
        <w:spacing w:after="100" w:line="252" w:lineRule="auto"/>
      </w:pPr>
    </w:p>
    <w:tbl>
      <w:tblPr>
        <w:tblStyle w:val="aff2"/>
        <w:tblW w:w="0" w:type="auto"/>
        <w:jc w:val="center"/>
        <w:tblLook w:val="04A0" w:firstRow="1" w:lastRow="0" w:firstColumn="1" w:lastColumn="0" w:noHBand="0" w:noVBand="1"/>
      </w:tblPr>
      <w:tblGrid>
        <w:gridCol w:w="2835"/>
        <w:gridCol w:w="6236"/>
      </w:tblGrid>
      <w:tr w:rsidR="004E4B4F">
        <w:trPr>
          <w:jc w:val="center"/>
        </w:trPr>
        <w:tc>
          <w:tcPr>
            <w:tcW w:w="2835" w:type="dxa"/>
            <w:shd w:val="clear" w:color="auto" w:fill="D9EAF7"/>
            <w:vAlign w:val="center"/>
          </w:tcPr>
          <w:p w:rsidR="004E4B4F" w:rsidRDefault="00AF5400">
            <w:r>
              <w:rPr>
                <w:b/>
                <w:sz w:val="18"/>
              </w:rPr>
              <w:t>Показател</w:t>
            </w:r>
          </w:p>
        </w:tc>
        <w:tc>
          <w:tcPr>
            <w:tcW w:w="6236" w:type="dxa"/>
            <w:shd w:val="clear" w:color="auto" w:fill="D9EAF7"/>
            <w:vAlign w:val="center"/>
          </w:tcPr>
          <w:p w:rsidR="004E4B4F" w:rsidRDefault="00AF5400">
            <w:r>
              <w:rPr>
                <w:b/>
                <w:sz w:val="18"/>
              </w:rPr>
              <w:t>Данни</w:t>
            </w:r>
          </w:p>
        </w:tc>
      </w:tr>
      <w:tr w:rsidR="004E4B4F">
        <w:trPr>
          <w:jc w:val="center"/>
        </w:trPr>
        <w:tc>
          <w:tcPr>
            <w:tcW w:w="2835" w:type="dxa"/>
            <w:vAlign w:val="center"/>
          </w:tcPr>
          <w:p w:rsidR="004E4B4F" w:rsidRDefault="00AF5400">
            <w:r>
              <w:rPr>
                <w:sz w:val="18"/>
              </w:rPr>
              <w:t>Възложител</w:t>
            </w:r>
          </w:p>
        </w:tc>
        <w:tc>
          <w:tcPr>
            <w:tcW w:w="6236" w:type="dxa"/>
            <w:vAlign w:val="center"/>
          </w:tcPr>
          <w:p w:rsidR="004E4B4F" w:rsidRDefault="00E71703">
            <w:r>
              <w:rPr>
                <w:sz w:val="18"/>
              </w:rPr>
              <w:t>„Глоб</w:t>
            </w:r>
            <w:r>
              <w:rPr>
                <w:sz w:val="18"/>
                <w:lang w:val="bg-BG"/>
              </w:rPr>
              <w:t>у</w:t>
            </w:r>
            <w:r>
              <w:rPr>
                <w:sz w:val="18"/>
              </w:rPr>
              <w:t>л Скилс Пластик Сол</w:t>
            </w:r>
            <w:r>
              <w:rPr>
                <w:sz w:val="18"/>
                <w:lang w:val="bg-BG"/>
              </w:rPr>
              <w:t>у</w:t>
            </w:r>
            <w:r w:rsidR="00AF5400">
              <w:rPr>
                <w:sz w:val="18"/>
              </w:rPr>
              <w:t>шън“ ООД</w:t>
            </w:r>
          </w:p>
        </w:tc>
      </w:tr>
      <w:tr w:rsidR="004E4B4F">
        <w:trPr>
          <w:jc w:val="center"/>
        </w:trPr>
        <w:tc>
          <w:tcPr>
            <w:tcW w:w="2835" w:type="dxa"/>
            <w:vAlign w:val="center"/>
          </w:tcPr>
          <w:p w:rsidR="004E4B4F" w:rsidRDefault="00AF5400">
            <w:r>
              <w:rPr>
                <w:sz w:val="18"/>
              </w:rPr>
              <w:t>ЕИК</w:t>
            </w:r>
          </w:p>
        </w:tc>
        <w:tc>
          <w:tcPr>
            <w:tcW w:w="6236" w:type="dxa"/>
            <w:vAlign w:val="center"/>
          </w:tcPr>
          <w:p w:rsidR="004E4B4F" w:rsidRDefault="00AF5400">
            <w:r>
              <w:rPr>
                <w:sz w:val="18"/>
              </w:rPr>
              <w:t>208085976</w:t>
            </w:r>
          </w:p>
        </w:tc>
      </w:tr>
      <w:tr w:rsidR="004E4B4F">
        <w:trPr>
          <w:jc w:val="center"/>
        </w:trPr>
        <w:tc>
          <w:tcPr>
            <w:tcW w:w="2835" w:type="dxa"/>
            <w:vAlign w:val="center"/>
          </w:tcPr>
          <w:p w:rsidR="004E4B4F" w:rsidRDefault="00AF5400">
            <w:r>
              <w:rPr>
                <w:sz w:val="18"/>
              </w:rPr>
              <w:t>Представлявано от</w:t>
            </w:r>
          </w:p>
        </w:tc>
        <w:tc>
          <w:tcPr>
            <w:tcW w:w="6236" w:type="dxa"/>
            <w:vAlign w:val="center"/>
          </w:tcPr>
          <w:p w:rsidR="004E4B4F" w:rsidRDefault="00E71703" w:rsidP="00EC4559">
            <w:r>
              <w:rPr>
                <w:sz w:val="18"/>
              </w:rPr>
              <w:t>Ерол Акарс</w:t>
            </w:r>
            <w:r>
              <w:rPr>
                <w:sz w:val="18"/>
                <w:lang w:val="bg-BG"/>
              </w:rPr>
              <w:t>л</w:t>
            </w:r>
            <w:r w:rsidR="00EC4559">
              <w:rPr>
                <w:sz w:val="18"/>
              </w:rPr>
              <w:t>ан и Мустафа</w:t>
            </w:r>
            <w:r w:rsidR="00EC4559">
              <w:rPr>
                <w:sz w:val="18"/>
                <w:lang w:val="bg-BG"/>
              </w:rPr>
              <w:t xml:space="preserve"> </w:t>
            </w:r>
            <w:r w:rsidR="00EC4559">
              <w:rPr>
                <w:rFonts w:cs="Arial"/>
                <w:sz w:val="18"/>
              </w:rPr>
              <w:t>***</w:t>
            </w:r>
            <w:r w:rsidR="00AF5400">
              <w:rPr>
                <w:sz w:val="18"/>
              </w:rPr>
              <w:t xml:space="preserve"> Ходжа – Управители</w:t>
            </w:r>
          </w:p>
        </w:tc>
      </w:tr>
      <w:tr w:rsidR="004E4B4F">
        <w:trPr>
          <w:jc w:val="center"/>
        </w:trPr>
        <w:tc>
          <w:tcPr>
            <w:tcW w:w="2835" w:type="dxa"/>
            <w:vAlign w:val="center"/>
          </w:tcPr>
          <w:p w:rsidR="004E4B4F" w:rsidRDefault="00AF5400">
            <w:r>
              <w:rPr>
                <w:sz w:val="18"/>
              </w:rPr>
              <w:t>Седалище и адрес</w:t>
            </w:r>
          </w:p>
        </w:tc>
        <w:tc>
          <w:tcPr>
            <w:tcW w:w="6236" w:type="dxa"/>
            <w:vAlign w:val="center"/>
          </w:tcPr>
          <w:p w:rsidR="004E4B4F" w:rsidRDefault="00AF5400">
            <w:r>
              <w:rPr>
                <w:sz w:val="18"/>
              </w:rPr>
              <w:t>гр. София, общ. Столична, район Витоша, ул. „</w:t>
            </w:r>
            <w:proofErr w:type="gramStart"/>
            <w:r>
              <w:rPr>
                <w:sz w:val="18"/>
              </w:rPr>
              <w:t>Карамфил“ №</w:t>
            </w:r>
            <w:proofErr w:type="gramEnd"/>
            <w:r>
              <w:rPr>
                <w:sz w:val="18"/>
              </w:rPr>
              <w:t xml:space="preserve"> 46, ап. 1</w:t>
            </w:r>
          </w:p>
        </w:tc>
      </w:tr>
      <w:tr w:rsidR="004E4B4F">
        <w:trPr>
          <w:jc w:val="center"/>
        </w:trPr>
        <w:tc>
          <w:tcPr>
            <w:tcW w:w="2835" w:type="dxa"/>
            <w:vAlign w:val="center"/>
          </w:tcPr>
          <w:p w:rsidR="004E4B4F" w:rsidRDefault="00AF5400">
            <w:r>
              <w:rPr>
                <w:sz w:val="18"/>
              </w:rPr>
              <w:t>Местоположение на проекта</w:t>
            </w:r>
          </w:p>
        </w:tc>
        <w:tc>
          <w:tcPr>
            <w:tcW w:w="6236" w:type="dxa"/>
            <w:vAlign w:val="center"/>
          </w:tcPr>
          <w:p w:rsidR="004E4B4F" w:rsidRDefault="00AF5400">
            <w:r>
              <w:rPr>
                <w:sz w:val="18"/>
              </w:rPr>
              <w:t>гр. Велинград, ул. „Производствена“, ПИ 10450.502.2596</w:t>
            </w:r>
          </w:p>
        </w:tc>
      </w:tr>
      <w:tr w:rsidR="004E4B4F">
        <w:trPr>
          <w:jc w:val="center"/>
        </w:trPr>
        <w:tc>
          <w:tcPr>
            <w:tcW w:w="2835" w:type="dxa"/>
            <w:vAlign w:val="center"/>
          </w:tcPr>
          <w:p w:rsidR="004E4B4F" w:rsidRDefault="00AF5400">
            <w:r>
              <w:rPr>
                <w:sz w:val="18"/>
              </w:rPr>
              <w:t>Площ на имота</w:t>
            </w:r>
          </w:p>
        </w:tc>
        <w:tc>
          <w:tcPr>
            <w:tcW w:w="6236" w:type="dxa"/>
            <w:vAlign w:val="center"/>
          </w:tcPr>
          <w:p w:rsidR="004E4B4F" w:rsidRDefault="00AF5400">
            <w:r>
              <w:rPr>
                <w:sz w:val="18"/>
              </w:rPr>
              <w:t>приблизително 16 371 кв.м</w:t>
            </w:r>
          </w:p>
        </w:tc>
      </w:tr>
      <w:tr w:rsidR="004E4B4F">
        <w:trPr>
          <w:jc w:val="center"/>
        </w:trPr>
        <w:tc>
          <w:tcPr>
            <w:tcW w:w="2835" w:type="dxa"/>
            <w:vAlign w:val="center"/>
          </w:tcPr>
          <w:p w:rsidR="004E4B4F" w:rsidRDefault="00AF5400">
            <w:r>
              <w:rPr>
                <w:sz w:val="18"/>
              </w:rPr>
              <w:t>Основна дейност</w:t>
            </w:r>
          </w:p>
        </w:tc>
        <w:tc>
          <w:tcPr>
            <w:tcW w:w="6236" w:type="dxa"/>
            <w:vAlign w:val="center"/>
          </w:tcPr>
          <w:p w:rsidR="004E4B4F" w:rsidRDefault="00AF5400">
            <w:r>
              <w:rPr>
                <w:sz w:val="18"/>
              </w:rPr>
              <w:t>Инсталация за третиране, оползотворяване и рециклиране на неопасни пластмасови отпадъци с производство на вторични суровини</w:t>
            </w:r>
          </w:p>
        </w:tc>
      </w:tr>
      <w:tr w:rsidR="004E4B4F">
        <w:trPr>
          <w:jc w:val="center"/>
        </w:trPr>
        <w:tc>
          <w:tcPr>
            <w:tcW w:w="2835" w:type="dxa"/>
            <w:vAlign w:val="center"/>
          </w:tcPr>
          <w:p w:rsidR="004E4B4F" w:rsidRDefault="00AF5400">
            <w:r>
              <w:rPr>
                <w:sz w:val="18"/>
              </w:rPr>
              <w:t>Планиран технически капацитет</w:t>
            </w:r>
          </w:p>
        </w:tc>
        <w:tc>
          <w:tcPr>
            <w:tcW w:w="6236" w:type="dxa"/>
            <w:vAlign w:val="center"/>
          </w:tcPr>
          <w:p w:rsidR="004E4B4F" w:rsidRDefault="00AF5400">
            <w:r>
              <w:rPr>
                <w:sz w:val="18"/>
              </w:rPr>
              <w:t>приблизително 1 000 тона месечно, с поетапно въвеждане</w:t>
            </w:r>
          </w:p>
        </w:tc>
      </w:tr>
      <w:tr w:rsidR="004E4B4F">
        <w:trPr>
          <w:jc w:val="center"/>
        </w:trPr>
        <w:tc>
          <w:tcPr>
            <w:tcW w:w="2835" w:type="dxa"/>
            <w:vAlign w:val="center"/>
          </w:tcPr>
          <w:p w:rsidR="004E4B4F" w:rsidRDefault="00AF5400">
            <w:r>
              <w:rPr>
                <w:sz w:val="18"/>
              </w:rPr>
              <w:t>Първи етап инвестиция</w:t>
            </w:r>
          </w:p>
        </w:tc>
        <w:tc>
          <w:tcPr>
            <w:tcW w:w="6236" w:type="dxa"/>
            <w:vAlign w:val="center"/>
          </w:tcPr>
          <w:p w:rsidR="004E4B4F" w:rsidRDefault="00AF5400">
            <w:r>
              <w:rPr>
                <w:sz w:val="18"/>
              </w:rPr>
              <w:t>приблизително 3 000 000 евро само за машини; всички други инвестиции са извън този размер</w:t>
            </w:r>
          </w:p>
        </w:tc>
      </w:tr>
      <w:tr w:rsidR="004E4B4F">
        <w:trPr>
          <w:jc w:val="center"/>
        </w:trPr>
        <w:tc>
          <w:tcPr>
            <w:tcW w:w="2835" w:type="dxa"/>
            <w:vAlign w:val="center"/>
          </w:tcPr>
          <w:p w:rsidR="004E4B4F" w:rsidRDefault="00AF5400">
            <w:r>
              <w:rPr>
                <w:sz w:val="18"/>
              </w:rPr>
              <w:t>Заетост</w:t>
            </w:r>
          </w:p>
        </w:tc>
        <w:tc>
          <w:tcPr>
            <w:tcW w:w="6236" w:type="dxa"/>
            <w:vAlign w:val="center"/>
          </w:tcPr>
          <w:p w:rsidR="004E4B4F" w:rsidRDefault="00AF5400">
            <w:r>
              <w:rPr>
                <w:sz w:val="18"/>
              </w:rPr>
              <w:t>около 25–30 души на смяна при пълна производствена организация</w:t>
            </w:r>
          </w:p>
        </w:tc>
      </w:tr>
    </w:tbl>
    <w:p w:rsidR="004E4B4F" w:rsidRDefault="00AF5400">
      <w:pPr>
        <w:spacing w:after="100" w:line="252" w:lineRule="auto"/>
      </w:pPr>
      <w:r>
        <w:rPr>
          <w:i/>
        </w:rPr>
        <w:t>Настоящият документ е разработен като професионална екологична концепция и техническо-обяснителен материал към уведомление за инвестиционно предложение. Окончателните условия и приложимият административен режим се определят от компетентния орган – РИОСВ – Пазарджик.</w:t>
      </w:r>
    </w:p>
    <w:p w:rsidR="004E4B4F" w:rsidRDefault="00AF5400">
      <w:pPr>
        <w:pStyle w:val="1"/>
      </w:pPr>
      <w:r>
        <w:rPr>
          <w:rFonts w:ascii="Arial" w:hAnsi="Arial"/>
        </w:rPr>
        <w:t>ДО РИОСВ – ПАЗАРДЖИК</w:t>
      </w:r>
    </w:p>
    <w:p w:rsidR="004E4B4F" w:rsidRDefault="00AF5400">
      <w:pPr>
        <w:spacing w:after="100" w:line="252" w:lineRule="auto"/>
      </w:pPr>
      <w:r>
        <w:rPr>
          <w:b/>
        </w:rPr>
        <w:t>ДО</w:t>
      </w:r>
      <w:r>
        <w:rPr>
          <w:b/>
        </w:rPr>
        <w:br/>
        <w:t>Г-ЖА СЪРМА АТАНАСОВА</w:t>
      </w:r>
      <w:r>
        <w:rPr>
          <w:b/>
        </w:rPr>
        <w:br/>
        <w:t>ДИРЕКТОРА НА РИОСВ – ПАЗАРДЖИК</w:t>
      </w:r>
      <w:r>
        <w:rPr>
          <w:b/>
        </w:rPr>
        <w:br/>
        <w:t>ГРАД ПАЗАРДЖИК</w:t>
      </w:r>
      <w:r>
        <w:rPr>
          <w:b/>
        </w:rPr>
        <w:br/>
        <w:t>УЛ. „ГЕНЕРАЛ ГУРКО“ №3, ЕТ.4</w:t>
      </w:r>
    </w:p>
    <w:p w:rsidR="004E4B4F" w:rsidRDefault="00AF5400">
      <w:pPr>
        <w:spacing w:after="100" w:line="252" w:lineRule="auto"/>
        <w:jc w:val="center"/>
      </w:pPr>
      <w:r>
        <w:rPr>
          <w:b/>
        </w:rPr>
        <w:t>У В Е Д О М Л Е Н И Е</w:t>
      </w:r>
      <w:r>
        <w:rPr>
          <w:b/>
        </w:rPr>
        <w:br/>
        <w:t>за инвестиционно предложение</w:t>
      </w:r>
    </w:p>
    <w:p w:rsidR="004E4B4F" w:rsidRDefault="00E71703">
      <w:pPr>
        <w:spacing w:after="100" w:line="252" w:lineRule="auto"/>
      </w:pPr>
      <w:r>
        <w:t>от „Глоб</w:t>
      </w:r>
      <w:r>
        <w:rPr>
          <w:lang w:val="bg-BG"/>
        </w:rPr>
        <w:t>у</w:t>
      </w:r>
      <w:r>
        <w:t>л Скилс Пластик Сол</w:t>
      </w:r>
      <w:r>
        <w:rPr>
          <w:lang w:val="bg-BG"/>
        </w:rPr>
        <w:t>у</w:t>
      </w:r>
      <w:r w:rsidR="00AF5400">
        <w:t xml:space="preserve">шън“ </w:t>
      </w:r>
      <w:r>
        <w:t>ООД – представлявано от Ерол Ак</w:t>
      </w:r>
      <w:r w:rsidR="00AF5400">
        <w:t xml:space="preserve">арслан и Мустафа </w:t>
      </w:r>
      <w:r w:rsidR="0076538A">
        <w:rPr>
          <w:rFonts w:cs="Arial"/>
          <w:sz w:val="18"/>
        </w:rPr>
        <w:t>***</w:t>
      </w:r>
      <w:bookmarkStart w:id="0" w:name="_GoBack"/>
      <w:bookmarkEnd w:id="0"/>
      <w:r w:rsidR="00AF5400">
        <w:t xml:space="preserve"> Ходжа – Управители, гр. София, общ. Столична, район Витоша, ул. „</w:t>
      </w:r>
      <w:proofErr w:type="gramStart"/>
      <w:r w:rsidR="00AF5400">
        <w:t>Карамфил“ №</w:t>
      </w:r>
      <w:proofErr w:type="gramEnd"/>
      <w:r w:rsidR="00AF5400">
        <w:t xml:space="preserve"> 46, ап. 1</w:t>
      </w:r>
    </w:p>
    <w:p w:rsidR="004E4B4F" w:rsidRDefault="00AF5400">
      <w:pPr>
        <w:spacing w:after="100" w:line="252" w:lineRule="auto"/>
      </w:pPr>
      <w:r>
        <w:t>Седалище и ЕИК на юридическото лице: гр. София, общ. Столична, район Витоша, ул. „</w:t>
      </w:r>
      <w:proofErr w:type="gramStart"/>
      <w:r>
        <w:t>Карамфил“ №</w:t>
      </w:r>
      <w:proofErr w:type="gramEnd"/>
      <w:r>
        <w:t xml:space="preserve"> 46, ап. 1, ЕИК: 208085976.</w:t>
      </w:r>
    </w:p>
    <w:p w:rsidR="004E4B4F" w:rsidRDefault="00AF5400">
      <w:pPr>
        <w:spacing w:after="100" w:line="252" w:lineRule="auto"/>
      </w:pPr>
      <w:r>
        <w:t>Пълен пощенски адрес: гр. София, общ. Столична, район Витоша, ул. „</w:t>
      </w:r>
      <w:proofErr w:type="gramStart"/>
      <w:r>
        <w:t>Карамфил“ №</w:t>
      </w:r>
      <w:proofErr w:type="gramEnd"/>
      <w:r>
        <w:t xml:space="preserve"> 46, ап. 1.</w:t>
      </w:r>
    </w:p>
    <w:p w:rsidR="004E4B4F" w:rsidRDefault="00AF5400">
      <w:pPr>
        <w:spacing w:after="100" w:line="252" w:lineRule="auto"/>
      </w:pPr>
      <w:r>
        <w:t>Телефон и електронна поща: +49 170 73010</w:t>
      </w:r>
      <w:r w:rsidR="00E71703">
        <w:t>20 – Ерол Акарслан, +359 879 69</w:t>
      </w:r>
      <w:r>
        <w:t xml:space="preserve">3421 – Мустафа </w:t>
      </w:r>
      <w:r w:rsidR="00EC4559">
        <w:rPr>
          <w:rFonts w:cs="Arial"/>
          <w:sz w:val="18"/>
        </w:rPr>
        <w:t>***</w:t>
      </w:r>
      <w:r>
        <w:t xml:space="preserve"> Ходжа, e-mail: globulskills@gmail.com.</w:t>
      </w:r>
    </w:p>
    <w:p w:rsidR="004E4B4F" w:rsidRDefault="00AF5400">
      <w:pPr>
        <w:spacing w:after="100" w:line="252" w:lineRule="auto"/>
      </w:pPr>
      <w:r>
        <w:t xml:space="preserve">Управители на фирмата възложител: Ерол Аксарслан и Мустафа </w:t>
      </w:r>
      <w:r w:rsidR="00EC4559">
        <w:rPr>
          <w:rFonts w:cs="Arial"/>
          <w:sz w:val="18"/>
        </w:rPr>
        <w:t>***</w:t>
      </w:r>
      <w:r>
        <w:t xml:space="preserve"> Ходжа.</w:t>
      </w:r>
    </w:p>
    <w:p w:rsidR="004E4B4F" w:rsidRDefault="00AF5400">
      <w:pPr>
        <w:spacing w:after="100" w:line="252" w:lineRule="auto"/>
      </w:pPr>
      <w:r>
        <w:rPr>
          <w:b/>
        </w:rPr>
        <w:t>УВАЖАЕМА ГОСПОЖО ДИРЕКТОР,</w:t>
      </w:r>
    </w:p>
    <w:p w:rsidR="004E4B4F" w:rsidRDefault="00E71703">
      <w:pPr>
        <w:spacing w:after="100" w:line="252" w:lineRule="auto"/>
      </w:pPr>
      <w:r>
        <w:t>Уведомяваме Ви, че „Глоб</w:t>
      </w:r>
      <w:r>
        <w:rPr>
          <w:lang w:val="bg-BG"/>
        </w:rPr>
        <w:t>у</w:t>
      </w:r>
      <w:r>
        <w:t xml:space="preserve">л Скилс Пластик </w:t>
      </w:r>
      <w:proofErr w:type="gramStart"/>
      <w:r>
        <w:t>Сол</w:t>
      </w:r>
      <w:r>
        <w:rPr>
          <w:lang w:val="bg-BG"/>
        </w:rPr>
        <w:t>у</w:t>
      </w:r>
      <w:r w:rsidR="00AF5400">
        <w:t>шън“ ООД</w:t>
      </w:r>
      <w:proofErr w:type="gramEnd"/>
      <w:r w:rsidR="00AF5400">
        <w:t xml:space="preserve"> има следното инвестиционно предложение:</w:t>
      </w:r>
    </w:p>
    <w:p w:rsidR="004E4B4F" w:rsidRDefault="00AF5400">
      <w:pPr>
        <w:spacing w:after="100" w:line="252" w:lineRule="auto"/>
      </w:pPr>
      <w:r>
        <w:rPr>
          <w:b/>
        </w:rPr>
        <w:t xml:space="preserve">„Инсталация за третиране, оползотворяване и рециклиране на неопасни пластмасови отпадъци с производство на вторични </w:t>
      </w:r>
      <w:proofErr w:type="gramStart"/>
      <w:r>
        <w:rPr>
          <w:b/>
        </w:rPr>
        <w:t>суровини“</w:t>
      </w:r>
      <w:proofErr w:type="gramEnd"/>
      <w:r>
        <w:rPr>
          <w:b/>
        </w:rPr>
        <w:t>, разположена в поземлен имот с идентификатор 10450.502.2596 по КККР на гр. Велинград, община Велинград, област Пазарджик.</w:t>
      </w:r>
    </w:p>
    <w:p w:rsidR="004E4B4F" w:rsidRDefault="00AF5400">
      <w:pPr>
        <w:pStyle w:val="1"/>
      </w:pPr>
      <w:r>
        <w:rPr>
          <w:rFonts w:ascii="Arial" w:hAnsi="Arial"/>
        </w:rPr>
        <w:lastRenderedPageBreak/>
        <w:t>1. Цел и предмет на професионалната концепция</w:t>
      </w:r>
    </w:p>
    <w:p w:rsidR="004E4B4F" w:rsidRDefault="00AF5400">
      <w:pPr>
        <w:spacing w:after="100" w:line="252" w:lineRule="auto"/>
      </w:pPr>
      <w:r>
        <w:t>Настоящата концепция представя инвестиционното предложение в професионален екологичен и технически формат, съобразен с логиката на процедурите пред РИОСВ и с принципите на българското екологично законодателство. Целта е компетентният орган да получи ясна информация за характера на дейността, вида на входящите материали, технологичния процес, площадката, капацитета, мерките за контрол и очакваното въздействие върху компонентите на околната среда.</w:t>
      </w:r>
    </w:p>
    <w:p w:rsidR="004E4B4F" w:rsidRDefault="00AF5400">
      <w:pPr>
        <w:spacing w:after="100" w:line="252" w:lineRule="auto"/>
      </w:pPr>
      <w:r>
        <w:t>Концепцията е разработена с оглед на това проектът да не бъде възприеман като общинска площадка за боклук или инсталация за смесени битови отпадъци. Предметът на проекта е техническа класификация и подготовка на пластмасови по своя характер и неопасни материали като вторична индустриална суровина.</w:t>
      </w:r>
    </w:p>
    <w:p w:rsidR="004E4B4F" w:rsidRDefault="00AF5400">
      <w:pPr>
        <w:spacing w:after="100" w:line="252" w:lineRule="auto"/>
      </w:pPr>
      <w:r>
        <w:t>Документът не замества окончателен доклад по ОВОС, разрешение по Закона за управление на отпадъците или други специализирани проекти. Той служи като професионална концептуална основа за уведомление и последващи становища, указания или процедури от компетентните органи.</w:t>
      </w:r>
    </w:p>
    <w:p w:rsidR="004E4B4F" w:rsidRDefault="00AF5400">
      <w:pPr>
        <w:pStyle w:val="1"/>
      </w:pPr>
      <w:r>
        <w:rPr>
          <w:rFonts w:ascii="Arial" w:hAnsi="Arial"/>
        </w:rPr>
        <w:t>2. Нормативна и процедурна рамка</w:t>
      </w:r>
    </w:p>
    <w:p w:rsidR="004E4B4F" w:rsidRDefault="00AF5400">
      <w:pPr>
        <w:spacing w:after="100" w:line="252" w:lineRule="auto"/>
      </w:pPr>
      <w:r>
        <w:t>При разработване и последващо администриране на проекта следва да бъдат съобразени приложимите изисквания на българското законодателство в областта на околната среда, управлението на отпадъците, водите, атмосферния въздух, шума, здравословните и безопасни условия на труд, пожарната безопасност и устройственото планиране.</w:t>
      </w:r>
    </w:p>
    <w:tbl>
      <w:tblPr>
        <w:tblStyle w:val="aff2"/>
        <w:tblW w:w="0" w:type="auto"/>
        <w:jc w:val="center"/>
        <w:tblLook w:val="04A0" w:firstRow="1" w:lastRow="0" w:firstColumn="1" w:lastColumn="0" w:noHBand="0" w:noVBand="1"/>
      </w:tblPr>
      <w:tblGrid>
        <w:gridCol w:w="2835"/>
        <w:gridCol w:w="6236"/>
      </w:tblGrid>
      <w:tr w:rsidR="004E4B4F">
        <w:trPr>
          <w:jc w:val="center"/>
        </w:trPr>
        <w:tc>
          <w:tcPr>
            <w:tcW w:w="2835" w:type="dxa"/>
            <w:shd w:val="clear" w:color="auto" w:fill="D9EAF7"/>
            <w:vAlign w:val="center"/>
          </w:tcPr>
          <w:p w:rsidR="004E4B4F" w:rsidRDefault="00AF5400">
            <w:r>
              <w:rPr>
                <w:b/>
                <w:sz w:val="18"/>
              </w:rPr>
              <w:t>Нормативен акт / режим</w:t>
            </w:r>
          </w:p>
        </w:tc>
        <w:tc>
          <w:tcPr>
            <w:tcW w:w="6236" w:type="dxa"/>
            <w:shd w:val="clear" w:color="auto" w:fill="D9EAF7"/>
            <w:vAlign w:val="center"/>
          </w:tcPr>
          <w:p w:rsidR="004E4B4F" w:rsidRDefault="00AF5400">
            <w:r>
              <w:rPr>
                <w:b/>
                <w:sz w:val="18"/>
              </w:rPr>
              <w:t>Отношение към проекта</w:t>
            </w:r>
          </w:p>
        </w:tc>
      </w:tr>
      <w:tr w:rsidR="004E4B4F">
        <w:trPr>
          <w:jc w:val="center"/>
        </w:trPr>
        <w:tc>
          <w:tcPr>
            <w:tcW w:w="2835" w:type="dxa"/>
            <w:vAlign w:val="center"/>
          </w:tcPr>
          <w:p w:rsidR="004E4B4F" w:rsidRDefault="00AF5400">
            <w:r>
              <w:rPr>
                <w:sz w:val="18"/>
              </w:rPr>
              <w:t>Закон за опазване на околната среда (ЗООС)</w:t>
            </w:r>
          </w:p>
        </w:tc>
        <w:tc>
          <w:tcPr>
            <w:tcW w:w="6236" w:type="dxa"/>
            <w:vAlign w:val="center"/>
          </w:tcPr>
          <w:p w:rsidR="004E4B4F" w:rsidRDefault="00AF5400">
            <w:r>
              <w:rPr>
                <w:sz w:val="18"/>
              </w:rPr>
              <w:t>Рамков закон за опазване на околната среда, превантивния контрол, процедурите по ОВОС и компетентността на органите.</w:t>
            </w:r>
          </w:p>
        </w:tc>
      </w:tr>
      <w:tr w:rsidR="004E4B4F">
        <w:trPr>
          <w:jc w:val="center"/>
        </w:trPr>
        <w:tc>
          <w:tcPr>
            <w:tcW w:w="2835" w:type="dxa"/>
            <w:vAlign w:val="center"/>
          </w:tcPr>
          <w:p w:rsidR="004E4B4F" w:rsidRDefault="00AF5400">
            <w:r>
              <w:rPr>
                <w:sz w:val="18"/>
              </w:rPr>
              <w:t>Наредба за условията и реда за извършване на ОВОС</w:t>
            </w:r>
          </w:p>
        </w:tc>
        <w:tc>
          <w:tcPr>
            <w:tcW w:w="6236" w:type="dxa"/>
            <w:vAlign w:val="center"/>
          </w:tcPr>
          <w:p w:rsidR="004E4B4F" w:rsidRDefault="00AF5400">
            <w:r>
              <w:rPr>
                <w:sz w:val="18"/>
              </w:rPr>
              <w:t>Определя реда за уведомяване, преценка и евентуална оценка на въздействието върху околната среда при инвестиционни предложения.</w:t>
            </w:r>
          </w:p>
        </w:tc>
      </w:tr>
      <w:tr w:rsidR="004E4B4F">
        <w:trPr>
          <w:jc w:val="center"/>
        </w:trPr>
        <w:tc>
          <w:tcPr>
            <w:tcW w:w="2835" w:type="dxa"/>
            <w:vAlign w:val="center"/>
          </w:tcPr>
          <w:p w:rsidR="004E4B4F" w:rsidRDefault="00AF5400">
            <w:r>
              <w:rPr>
                <w:sz w:val="18"/>
              </w:rPr>
              <w:t>Закон за управление на отпадъците (ЗУО)</w:t>
            </w:r>
          </w:p>
        </w:tc>
        <w:tc>
          <w:tcPr>
            <w:tcW w:w="6236" w:type="dxa"/>
            <w:vAlign w:val="center"/>
          </w:tcPr>
          <w:p w:rsidR="004E4B4F" w:rsidRDefault="00AF5400">
            <w:r>
              <w:rPr>
                <w:sz w:val="18"/>
              </w:rPr>
              <w:t>Регулира дейностите по третиране, съхраняване, оползотворяване, отчетност, контрол и издаване на разрешения/регистрационни документи.</w:t>
            </w:r>
          </w:p>
        </w:tc>
      </w:tr>
      <w:tr w:rsidR="004E4B4F">
        <w:trPr>
          <w:jc w:val="center"/>
        </w:trPr>
        <w:tc>
          <w:tcPr>
            <w:tcW w:w="2835" w:type="dxa"/>
            <w:vAlign w:val="center"/>
          </w:tcPr>
          <w:p w:rsidR="004E4B4F" w:rsidRDefault="00AF5400">
            <w:r>
              <w:rPr>
                <w:sz w:val="18"/>
              </w:rPr>
              <w:t>Наредба № 2 от 23.07.2014 г. за класификация на отпадъците</w:t>
            </w:r>
          </w:p>
        </w:tc>
        <w:tc>
          <w:tcPr>
            <w:tcW w:w="6236" w:type="dxa"/>
            <w:vAlign w:val="center"/>
          </w:tcPr>
          <w:p w:rsidR="004E4B4F" w:rsidRDefault="00AF5400">
            <w:r>
              <w:rPr>
                <w:sz w:val="18"/>
              </w:rPr>
              <w:t>Определя условията и реда за класификация на отпадъците по кодове, видове и свойства.</w:t>
            </w:r>
          </w:p>
        </w:tc>
      </w:tr>
      <w:tr w:rsidR="004E4B4F">
        <w:trPr>
          <w:jc w:val="center"/>
        </w:trPr>
        <w:tc>
          <w:tcPr>
            <w:tcW w:w="2835" w:type="dxa"/>
            <w:vAlign w:val="center"/>
          </w:tcPr>
          <w:p w:rsidR="004E4B4F" w:rsidRDefault="00AF5400">
            <w:r>
              <w:rPr>
                <w:sz w:val="18"/>
              </w:rPr>
              <w:t>Закон за водите и приложимите наредби</w:t>
            </w:r>
          </w:p>
        </w:tc>
        <w:tc>
          <w:tcPr>
            <w:tcW w:w="6236" w:type="dxa"/>
            <w:vAlign w:val="center"/>
          </w:tcPr>
          <w:p w:rsidR="004E4B4F" w:rsidRDefault="00AF5400">
            <w:r>
              <w:rPr>
                <w:sz w:val="18"/>
              </w:rPr>
              <w:t>Отнася се до ползването на вода, управление на процесни води, евентуално заустване или рециркулация.</w:t>
            </w:r>
          </w:p>
        </w:tc>
      </w:tr>
      <w:tr w:rsidR="004E4B4F">
        <w:trPr>
          <w:jc w:val="center"/>
        </w:trPr>
        <w:tc>
          <w:tcPr>
            <w:tcW w:w="2835" w:type="dxa"/>
            <w:vAlign w:val="center"/>
          </w:tcPr>
          <w:p w:rsidR="004E4B4F" w:rsidRDefault="00AF5400">
            <w:r>
              <w:rPr>
                <w:sz w:val="18"/>
              </w:rPr>
              <w:t>Закон за чистотата на атмосферния въздух</w:t>
            </w:r>
          </w:p>
        </w:tc>
        <w:tc>
          <w:tcPr>
            <w:tcW w:w="6236" w:type="dxa"/>
            <w:vAlign w:val="center"/>
          </w:tcPr>
          <w:p w:rsidR="004E4B4F" w:rsidRDefault="00AF5400">
            <w:r>
              <w:rPr>
                <w:sz w:val="18"/>
              </w:rPr>
              <w:t>Отнася се до контрол на прахови частици, локална аспирация, филтрация и ограничаване на емисии.</w:t>
            </w:r>
          </w:p>
        </w:tc>
      </w:tr>
      <w:tr w:rsidR="004E4B4F">
        <w:trPr>
          <w:jc w:val="center"/>
        </w:trPr>
        <w:tc>
          <w:tcPr>
            <w:tcW w:w="2835" w:type="dxa"/>
            <w:vAlign w:val="center"/>
          </w:tcPr>
          <w:p w:rsidR="004E4B4F" w:rsidRDefault="00AF5400">
            <w:r>
              <w:rPr>
                <w:sz w:val="18"/>
              </w:rPr>
              <w:t>Закон за устройство на територията (ЗУТ)</w:t>
            </w:r>
          </w:p>
        </w:tc>
        <w:tc>
          <w:tcPr>
            <w:tcW w:w="6236" w:type="dxa"/>
            <w:vAlign w:val="center"/>
          </w:tcPr>
          <w:p w:rsidR="004E4B4F" w:rsidRDefault="00AF5400">
            <w:r>
              <w:rPr>
                <w:sz w:val="18"/>
              </w:rPr>
              <w:t>Отнася се до съответствие на площадката, монтажни дейности, технически проекти, строителни/монтажни решения и инфраструктура.</w:t>
            </w:r>
          </w:p>
        </w:tc>
      </w:tr>
    </w:tbl>
    <w:p w:rsidR="004E4B4F" w:rsidRDefault="00AF5400">
      <w:pPr>
        <w:spacing w:after="100" w:line="252" w:lineRule="auto"/>
      </w:pPr>
      <w:r>
        <w:rPr>
          <w:i/>
        </w:rPr>
        <w:t>Компетентният орган може да изиска допълнителни данни за машини, мощности, водни баланси, схеми, складови количества, пожаро-безопасни разстояния, шум, прах, персонал, график на работа и документи за класификация на отпадъци. Възложителят заявява готовност да предостави такива данни в хода на процедурата.</w:t>
      </w:r>
    </w:p>
    <w:p w:rsidR="004E4B4F" w:rsidRDefault="00AF5400">
      <w:pPr>
        <w:pStyle w:val="1"/>
      </w:pPr>
      <w:r>
        <w:rPr>
          <w:rFonts w:ascii="Arial" w:hAnsi="Arial"/>
        </w:rPr>
        <w:t>3. Представяне на инвеститора</w:t>
      </w:r>
    </w:p>
    <w:p w:rsidR="004E4B4F" w:rsidRDefault="00AF5400">
      <w:pPr>
        <w:spacing w:after="100" w:line="252" w:lineRule="auto"/>
      </w:pPr>
      <w:r>
        <w:t>Globul Skills Plastic Solution OOD е дружество, създадено като модерно Plastic Solution предприятие, насочено към пластмасови материали, технически решения за пластмаси, полимерна класификация, индустриални суровини и кръгова икономика.</w:t>
      </w:r>
    </w:p>
    <w:p w:rsidR="004E4B4F" w:rsidRDefault="00AF5400">
      <w:pPr>
        <w:spacing w:after="100" w:line="252" w:lineRule="auto"/>
      </w:pPr>
      <w:r>
        <w:t>Основната цел на дружеството е пластмасови материали да бъдат оценявани според техните технически характеристики, класифицирани, разделяни по различни полимерни видове и подготвяни за повторна употреба в индустрията като суровина.</w:t>
      </w:r>
    </w:p>
    <w:p w:rsidR="004E4B4F" w:rsidRDefault="00AF5400">
      <w:pPr>
        <w:spacing w:after="100" w:line="252" w:lineRule="auto"/>
      </w:pPr>
      <w:r>
        <w:t>Собствениците и управителите са с инженерна и практическа основа в областта на пластмасовите материали, производствените технологии, техническите пластмаси, гранулирането, механичната подготовка, оптичните sortex системи, NIR сензорното разделяне и електростатичната сепарация.</w:t>
      </w:r>
    </w:p>
    <w:p w:rsidR="004E4B4F" w:rsidRDefault="00AF5400">
      <w:pPr>
        <w:pStyle w:val="1"/>
      </w:pPr>
      <w:r>
        <w:rPr>
          <w:rFonts w:ascii="Arial" w:hAnsi="Arial"/>
        </w:rPr>
        <w:lastRenderedPageBreak/>
        <w:t>4. Наименование, местоположение и обща цел</w:t>
      </w:r>
    </w:p>
    <w:p w:rsidR="004E4B4F" w:rsidRDefault="00AF5400">
      <w:pPr>
        <w:spacing w:after="100" w:line="252" w:lineRule="auto"/>
      </w:pPr>
      <w:r>
        <w:t xml:space="preserve">Наименованието на инвестиционното предложение е: „Инсталация за третиране, оползотворяване и рециклиране на неопасни пластмасови отпадъци с производство на вторични </w:t>
      </w:r>
      <w:proofErr w:type="gramStart"/>
      <w:r>
        <w:t>суровини“</w:t>
      </w:r>
      <w:proofErr w:type="gramEnd"/>
      <w:r>
        <w:t>.</w:t>
      </w:r>
    </w:p>
    <w:p w:rsidR="004E4B4F" w:rsidRDefault="00AF5400">
      <w:pPr>
        <w:spacing w:after="100" w:line="252" w:lineRule="auto"/>
      </w:pPr>
      <w:r>
        <w:t>Проектът се планира в гр. Велинград, ул. „</w:t>
      </w:r>
      <w:proofErr w:type="gramStart"/>
      <w:r>
        <w:t>Производствена“</w:t>
      </w:r>
      <w:proofErr w:type="gramEnd"/>
      <w:r>
        <w:t>, в поземлен имот с идентификатор 10450.502.2596, община Велинград, област Пазарджик. Площта на имота е приблизително 16 371 кв.м, а предназначението му е за друг вид производствен, складов обект. По представената скица в имота попадат съществуващи промишлени сгради, включително основна промишлена сграда със застроена площ 6065 кв.м.</w:t>
      </w:r>
    </w:p>
    <w:p w:rsidR="004E4B4F" w:rsidRDefault="00AF5400">
      <w:pPr>
        <w:spacing w:after="100" w:line="252" w:lineRule="auto"/>
      </w:pPr>
      <w:r>
        <w:t>Целта е изграждане на контролиран индустриален център за техническа класификация, полимерно разделяне, оползотворяване и подготовка на неопасни пластмасови материали като вторична суровина за промишлеността.</w:t>
      </w:r>
    </w:p>
    <w:p w:rsidR="004E4B4F" w:rsidRDefault="00AF5400">
      <w:pPr>
        <w:pStyle w:val="1"/>
      </w:pPr>
      <w:r>
        <w:rPr>
          <w:rFonts w:ascii="Arial" w:hAnsi="Arial"/>
        </w:rPr>
        <w:t>5. Същност на проекта: какво представлява и какво не представлява</w:t>
      </w:r>
    </w:p>
    <w:p w:rsidR="004E4B4F" w:rsidRDefault="00AF5400">
      <w:pPr>
        <w:spacing w:after="100" w:line="252" w:lineRule="auto"/>
      </w:pPr>
      <w:r>
        <w:t>Проектът представлява модерна Plastic Solution инсталация с технологични линии за механична подготовка, полимерно разпознаване, оптично сортиране, електростатична сепарация, качествен контрол, гранулиране и подготовка на вторични пластмасови суровини.</w:t>
      </w:r>
    </w:p>
    <w:p w:rsidR="004E4B4F" w:rsidRDefault="00AF5400">
      <w:pPr>
        <w:spacing w:after="100" w:line="252" w:lineRule="auto"/>
      </w:pPr>
      <w:r>
        <w:t>Проектът не представлява:</w:t>
      </w:r>
    </w:p>
    <w:p w:rsidR="004E4B4F" w:rsidRDefault="00AF5400">
      <w:pPr>
        <w:pStyle w:val="a0"/>
      </w:pPr>
      <w:r>
        <w:t>площадка за общински боклук;</w:t>
      </w:r>
    </w:p>
    <w:p w:rsidR="004E4B4F" w:rsidRDefault="00AF5400">
      <w:pPr>
        <w:pStyle w:val="a0"/>
      </w:pPr>
      <w:r>
        <w:t>инсталация за смесени битови отпадъци;</w:t>
      </w:r>
    </w:p>
    <w:p w:rsidR="004E4B4F" w:rsidRDefault="00AF5400">
      <w:pPr>
        <w:pStyle w:val="a0"/>
      </w:pPr>
      <w:r>
        <w:t>инсталация за органични, хранителни или кухненски отпадъци;</w:t>
      </w:r>
    </w:p>
    <w:p w:rsidR="004E4B4F" w:rsidRDefault="00AF5400">
      <w:pPr>
        <w:pStyle w:val="a0"/>
      </w:pPr>
      <w:r>
        <w:t>инсталация за медицински или опасни отпадъци;</w:t>
      </w:r>
    </w:p>
    <w:p w:rsidR="004E4B4F" w:rsidRDefault="00AF5400">
      <w:pPr>
        <w:pStyle w:val="a0"/>
      </w:pPr>
      <w:r>
        <w:t>депо или инсталация за изгаряне;</w:t>
      </w:r>
    </w:p>
    <w:p w:rsidR="004E4B4F" w:rsidRDefault="00AF5400">
      <w:pPr>
        <w:pStyle w:val="a0"/>
      </w:pPr>
      <w:r>
        <w:t>сортиране на смесен градски боклук;</w:t>
      </w:r>
    </w:p>
    <w:p w:rsidR="004E4B4F" w:rsidRDefault="00AF5400">
      <w:pPr>
        <w:pStyle w:val="a0"/>
      </w:pPr>
      <w:r>
        <w:t>дейност по търсене на ценни материали в боклук.</w:t>
      </w:r>
    </w:p>
    <w:p w:rsidR="004E4B4F" w:rsidRDefault="00AF5400">
      <w:pPr>
        <w:spacing w:after="100" w:line="252" w:lineRule="auto"/>
      </w:pPr>
      <w:r>
        <w:t>Проектът работи само с пластмасови по своя характер и неопасни материали, които подлежат на техническа класификация и оползотворяване като индустриална суровина.</w:t>
      </w:r>
    </w:p>
    <w:p w:rsidR="004E4B4F" w:rsidRDefault="00AF5400">
      <w:pPr>
        <w:pStyle w:val="1"/>
      </w:pPr>
      <w:r>
        <w:rPr>
          <w:rFonts w:ascii="Arial" w:hAnsi="Arial"/>
        </w:rPr>
        <w:t>6. Входящи материали и кодове на отпадъци</w:t>
      </w:r>
    </w:p>
    <w:p w:rsidR="004E4B4F" w:rsidRDefault="00AF5400">
      <w:pPr>
        <w:spacing w:after="100" w:line="252" w:lineRule="auto"/>
      </w:pPr>
      <w:r>
        <w:t>Входящите материали могат да бъдат еднородни или смесени пластмасови фракции. Не е необходимо материалът да бъде предварително напълно разделен по полимерен вид. Основната техническа функция на инсталацията е именно да класифицира и разделя смесени пластмасови потоци по полимер, цвят, плътност, физическо състояние и електростатично поведение.</w:t>
      </w:r>
    </w:p>
    <w:tbl>
      <w:tblPr>
        <w:tblStyle w:val="aff2"/>
        <w:tblW w:w="0" w:type="auto"/>
        <w:jc w:val="center"/>
        <w:tblLook w:val="04A0" w:firstRow="1" w:lastRow="0" w:firstColumn="1" w:lastColumn="0" w:noHBand="0" w:noVBand="1"/>
      </w:tblPr>
      <w:tblGrid>
        <w:gridCol w:w="1134"/>
        <w:gridCol w:w="5102"/>
        <w:gridCol w:w="2835"/>
      </w:tblGrid>
      <w:tr w:rsidR="004E4B4F">
        <w:trPr>
          <w:jc w:val="center"/>
        </w:trPr>
        <w:tc>
          <w:tcPr>
            <w:tcW w:w="1134" w:type="dxa"/>
            <w:shd w:val="clear" w:color="auto" w:fill="D9EAF7"/>
            <w:vAlign w:val="center"/>
          </w:tcPr>
          <w:p w:rsidR="004E4B4F" w:rsidRDefault="00AF5400">
            <w:r>
              <w:rPr>
                <w:b/>
                <w:sz w:val="18"/>
              </w:rPr>
              <w:t>Код</w:t>
            </w:r>
          </w:p>
        </w:tc>
        <w:tc>
          <w:tcPr>
            <w:tcW w:w="5102" w:type="dxa"/>
            <w:shd w:val="clear" w:color="auto" w:fill="D9EAF7"/>
            <w:vAlign w:val="center"/>
          </w:tcPr>
          <w:p w:rsidR="004E4B4F" w:rsidRDefault="00AF5400">
            <w:r>
              <w:rPr>
                <w:b/>
                <w:sz w:val="18"/>
              </w:rPr>
              <w:t>Наименование / описание</w:t>
            </w:r>
          </w:p>
        </w:tc>
        <w:tc>
          <w:tcPr>
            <w:tcW w:w="2835" w:type="dxa"/>
            <w:shd w:val="clear" w:color="auto" w:fill="D9EAF7"/>
            <w:vAlign w:val="center"/>
          </w:tcPr>
          <w:p w:rsidR="004E4B4F" w:rsidRDefault="00AF5400">
            <w:r>
              <w:rPr>
                <w:b/>
                <w:sz w:val="18"/>
              </w:rPr>
              <w:t>Условие за приемане</w:t>
            </w:r>
          </w:p>
        </w:tc>
      </w:tr>
      <w:tr w:rsidR="004E4B4F">
        <w:trPr>
          <w:jc w:val="center"/>
        </w:trPr>
        <w:tc>
          <w:tcPr>
            <w:tcW w:w="1134" w:type="dxa"/>
            <w:vAlign w:val="center"/>
          </w:tcPr>
          <w:p w:rsidR="004E4B4F" w:rsidRDefault="00AF5400">
            <w:r>
              <w:rPr>
                <w:sz w:val="18"/>
              </w:rPr>
              <w:t>02 01 04</w:t>
            </w:r>
          </w:p>
        </w:tc>
        <w:tc>
          <w:tcPr>
            <w:tcW w:w="5102" w:type="dxa"/>
            <w:vAlign w:val="center"/>
          </w:tcPr>
          <w:p w:rsidR="004E4B4F" w:rsidRDefault="00AF5400">
            <w:r>
              <w:rPr>
                <w:sz w:val="18"/>
              </w:rPr>
              <w:t>Пластмасови отпадъци от селско стопанство, градинарство, аквакултури, горско стопанство, лов и риболов, с изключение на опаковки.</w:t>
            </w:r>
          </w:p>
        </w:tc>
        <w:tc>
          <w:tcPr>
            <w:tcW w:w="2835" w:type="dxa"/>
            <w:vAlign w:val="center"/>
          </w:tcPr>
          <w:p w:rsidR="004E4B4F" w:rsidRDefault="00AF5400">
            <w:r>
              <w:rPr>
                <w:sz w:val="18"/>
              </w:rPr>
              <w:t>Само пластмасови и неопасни материали.</w:t>
            </w:r>
          </w:p>
        </w:tc>
      </w:tr>
      <w:tr w:rsidR="004E4B4F">
        <w:trPr>
          <w:jc w:val="center"/>
        </w:trPr>
        <w:tc>
          <w:tcPr>
            <w:tcW w:w="1134" w:type="dxa"/>
            <w:vAlign w:val="center"/>
          </w:tcPr>
          <w:p w:rsidR="004E4B4F" w:rsidRDefault="00AF5400">
            <w:r>
              <w:rPr>
                <w:sz w:val="18"/>
              </w:rPr>
              <w:t>07 02 13</w:t>
            </w:r>
          </w:p>
        </w:tc>
        <w:tc>
          <w:tcPr>
            <w:tcW w:w="5102" w:type="dxa"/>
            <w:vAlign w:val="center"/>
          </w:tcPr>
          <w:p w:rsidR="004E4B4F" w:rsidRDefault="00AF5400">
            <w:r>
              <w:rPr>
                <w:sz w:val="18"/>
              </w:rPr>
              <w:t>Пластмасови отпадъци от производство, формулиране, доставка и употреба на пластмаси.</w:t>
            </w:r>
          </w:p>
        </w:tc>
        <w:tc>
          <w:tcPr>
            <w:tcW w:w="2835" w:type="dxa"/>
            <w:vAlign w:val="center"/>
          </w:tcPr>
          <w:p w:rsidR="004E4B4F" w:rsidRDefault="00AF5400">
            <w:r>
              <w:rPr>
                <w:sz w:val="18"/>
              </w:rPr>
              <w:t>Само неопасни пластмасови фракции без опасно замърсяване.</w:t>
            </w:r>
          </w:p>
        </w:tc>
      </w:tr>
      <w:tr w:rsidR="004E4B4F">
        <w:trPr>
          <w:jc w:val="center"/>
        </w:trPr>
        <w:tc>
          <w:tcPr>
            <w:tcW w:w="1134" w:type="dxa"/>
            <w:vAlign w:val="center"/>
          </w:tcPr>
          <w:p w:rsidR="004E4B4F" w:rsidRDefault="00AF5400">
            <w:r>
              <w:rPr>
                <w:sz w:val="18"/>
              </w:rPr>
              <w:t>12 01 05</w:t>
            </w:r>
          </w:p>
        </w:tc>
        <w:tc>
          <w:tcPr>
            <w:tcW w:w="5102" w:type="dxa"/>
            <w:vAlign w:val="center"/>
          </w:tcPr>
          <w:p w:rsidR="004E4B4F" w:rsidRDefault="00AF5400">
            <w:r>
              <w:rPr>
                <w:sz w:val="18"/>
              </w:rPr>
              <w:t>Пластмасови стърготини и изрезки.</w:t>
            </w:r>
          </w:p>
        </w:tc>
        <w:tc>
          <w:tcPr>
            <w:tcW w:w="2835" w:type="dxa"/>
            <w:vAlign w:val="center"/>
          </w:tcPr>
          <w:p w:rsidR="004E4B4F" w:rsidRDefault="00AF5400">
            <w:r>
              <w:rPr>
                <w:sz w:val="18"/>
              </w:rPr>
              <w:t>Само пластмасови стърготини/изрезки от неопасен произход.</w:t>
            </w:r>
          </w:p>
        </w:tc>
      </w:tr>
      <w:tr w:rsidR="004E4B4F">
        <w:trPr>
          <w:jc w:val="center"/>
        </w:trPr>
        <w:tc>
          <w:tcPr>
            <w:tcW w:w="1134" w:type="dxa"/>
            <w:vAlign w:val="center"/>
          </w:tcPr>
          <w:p w:rsidR="004E4B4F" w:rsidRDefault="00AF5400">
            <w:r>
              <w:rPr>
                <w:sz w:val="18"/>
              </w:rPr>
              <w:t>15 01 02</w:t>
            </w:r>
          </w:p>
        </w:tc>
        <w:tc>
          <w:tcPr>
            <w:tcW w:w="5102" w:type="dxa"/>
            <w:vAlign w:val="center"/>
          </w:tcPr>
          <w:p w:rsidR="004E4B4F" w:rsidRDefault="00AF5400">
            <w:r>
              <w:rPr>
                <w:sz w:val="18"/>
              </w:rPr>
              <w:t>Пластмасови опаковки.</w:t>
            </w:r>
          </w:p>
        </w:tc>
        <w:tc>
          <w:tcPr>
            <w:tcW w:w="2835" w:type="dxa"/>
            <w:vAlign w:val="center"/>
          </w:tcPr>
          <w:p w:rsidR="004E4B4F" w:rsidRDefault="00AF5400">
            <w:r>
              <w:rPr>
                <w:sz w:val="18"/>
              </w:rPr>
              <w:t>Само отделно събрани/пластмасови фракции, без смесен битов боклук.</w:t>
            </w:r>
          </w:p>
        </w:tc>
      </w:tr>
      <w:tr w:rsidR="004E4B4F">
        <w:trPr>
          <w:jc w:val="center"/>
        </w:trPr>
        <w:tc>
          <w:tcPr>
            <w:tcW w:w="1134" w:type="dxa"/>
            <w:vAlign w:val="center"/>
          </w:tcPr>
          <w:p w:rsidR="004E4B4F" w:rsidRDefault="00AF5400">
            <w:r>
              <w:rPr>
                <w:sz w:val="18"/>
              </w:rPr>
              <w:t>16 01 19</w:t>
            </w:r>
          </w:p>
        </w:tc>
        <w:tc>
          <w:tcPr>
            <w:tcW w:w="5102" w:type="dxa"/>
            <w:vAlign w:val="center"/>
          </w:tcPr>
          <w:p w:rsidR="004E4B4F" w:rsidRDefault="00AF5400">
            <w:r>
              <w:rPr>
                <w:sz w:val="18"/>
              </w:rPr>
              <w:t>Пластмасови компоненти от излезли от употреба превозни средства.</w:t>
            </w:r>
          </w:p>
        </w:tc>
        <w:tc>
          <w:tcPr>
            <w:tcW w:w="2835" w:type="dxa"/>
            <w:vAlign w:val="center"/>
          </w:tcPr>
          <w:p w:rsidR="004E4B4F" w:rsidRDefault="00AF5400">
            <w:r>
              <w:rPr>
                <w:sz w:val="18"/>
              </w:rPr>
              <w:t>Само пластмасови компоненти, без опасни течности/замърсяване.</w:t>
            </w:r>
          </w:p>
        </w:tc>
      </w:tr>
      <w:tr w:rsidR="004E4B4F">
        <w:trPr>
          <w:jc w:val="center"/>
        </w:trPr>
        <w:tc>
          <w:tcPr>
            <w:tcW w:w="1134" w:type="dxa"/>
            <w:vAlign w:val="center"/>
          </w:tcPr>
          <w:p w:rsidR="004E4B4F" w:rsidRDefault="00AF5400">
            <w:r>
              <w:rPr>
                <w:sz w:val="18"/>
              </w:rPr>
              <w:t>17 02 03</w:t>
            </w:r>
          </w:p>
        </w:tc>
        <w:tc>
          <w:tcPr>
            <w:tcW w:w="5102" w:type="dxa"/>
            <w:vAlign w:val="center"/>
          </w:tcPr>
          <w:p w:rsidR="004E4B4F" w:rsidRDefault="00AF5400">
            <w:r>
              <w:rPr>
                <w:sz w:val="18"/>
              </w:rPr>
              <w:t>Пластмаси от строителни и разрушителни дейности.</w:t>
            </w:r>
          </w:p>
        </w:tc>
        <w:tc>
          <w:tcPr>
            <w:tcW w:w="2835" w:type="dxa"/>
            <w:vAlign w:val="center"/>
          </w:tcPr>
          <w:p w:rsidR="004E4B4F" w:rsidRDefault="00AF5400">
            <w:r>
              <w:rPr>
                <w:sz w:val="18"/>
              </w:rPr>
              <w:t>Само пластмаси без опасни примеси.</w:t>
            </w:r>
          </w:p>
        </w:tc>
      </w:tr>
      <w:tr w:rsidR="004E4B4F">
        <w:trPr>
          <w:jc w:val="center"/>
        </w:trPr>
        <w:tc>
          <w:tcPr>
            <w:tcW w:w="1134" w:type="dxa"/>
            <w:vAlign w:val="center"/>
          </w:tcPr>
          <w:p w:rsidR="004E4B4F" w:rsidRDefault="00AF5400">
            <w:r>
              <w:rPr>
                <w:sz w:val="18"/>
              </w:rPr>
              <w:lastRenderedPageBreak/>
              <w:t>19 12 04</w:t>
            </w:r>
          </w:p>
        </w:tc>
        <w:tc>
          <w:tcPr>
            <w:tcW w:w="5102" w:type="dxa"/>
            <w:vAlign w:val="center"/>
          </w:tcPr>
          <w:p w:rsidR="004E4B4F" w:rsidRDefault="00AF5400">
            <w:r>
              <w:rPr>
                <w:sz w:val="18"/>
              </w:rPr>
              <w:t>Пластмаса и каучук от механично третиране на отпадъци.</w:t>
            </w:r>
          </w:p>
        </w:tc>
        <w:tc>
          <w:tcPr>
            <w:tcW w:w="2835" w:type="dxa"/>
            <w:vAlign w:val="center"/>
          </w:tcPr>
          <w:p w:rsidR="004E4B4F" w:rsidRDefault="00AF5400">
            <w:r>
              <w:rPr>
                <w:sz w:val="18"/>
              </w:rPr>
              <w:t>Само пластмасови/каучукови фракции; не е прием на смесен боклук.</w:t>
            </w:r>
          </w:p>
        </w:tc>
      </w:tr>
      <w:tr w:rsidR="004E4B4F">
        <w:trPr>
          <w:jc w:val="center"/>
        </w:trPr>
        <w:tc>
          <w:tcPr>
            <w:tcW w:w="1134" w:type="dxa"/>
            <w:vAlign w:val="center"/>
          </w:tcPr>
          <w:p w:rsidR="004E4B4F" w:rsidRDefault="00AF5400">
            <w:r>
              <w:rPr>
                <w:sz w:val="18"/>
              </w:rPr>
              <w:t>20 01 39</w:t>
            </w:r>
          </w:p>
        </w:tc>
        <w:tc>
          <w:tcPr>
            <w:tcW w:w="5102" w:type="dxa"/>
            <w:vAlign w:val="center"/>
          </w:tcPr>
          <w:p w:rsidR="004E4B4F" w:rsidRDefault="00AF5400">
            <w:r>
              <w:rPr>
                <w:sz w:val="18"/>
              </w:rPr>
              <w:t>Разделно събрани пластмаси.</w:t>
            </w:r>
          </w:p>
        </w:tc>
        <w:tc>
          <w:tcPr>
            <w:tcW w:w="2835" w:type="dxa"/>
            <w:vAlign w:val="center"/>
          </w:tcPr>
          <w:p w:rsidR="004E4B4F" w:rsidRDefault="00AF5400">
            <w:r>
              <w:rPr>
                <w:sz w:val="18"/>
              </w:rPr>
              <w:t>Само разделно събрани пластмаси; не означава смесен общински или битов боклук.</w:t>
            </w:r>
          </w:p>
        </w:tc>
      </w:tr>
    </w:tbl>
    <w:p w:rsidR="004E4B4F" w:rsidRDefault="00AF5400">
      <w:pPr>
        <w:spacing w:after="100" w:line="252" w:lineRule="auto"/>
      </w:pPr>
      <w:r>
        <w:rPr>
          <w:i/>
        </w:rPr>
        <w:t>Окончателното приложение на кодовете ще се извърши след потвърждение от компетентния орган и след класификация съгласно Наредба № 2 за класификация на отпадъците. При промяна на входящите материали или технологичния процес ще се спазват изискванията за актуална класификация и документиране.</w:t>
      </w:r>
    </w:p>
    <w:p w:rsidR="004E4B4F" w:rsidRDefault="00AF5400">
      <w:pPr>
        <w:pStyle w:val="1"/>
      </w:pPr>
      <w:r>
        <w:rPr>
          <w:rFonts w:ascii="Arial" w:hAnsi="Arial"/>
        </w:rPr>
        <w:t>7. Материали извън обхвата</w:t>
      </w:r>
    </w:p>
    <w:p w:rsidR="004E4B4F" w:rsidRDefault="00AF5400">
      <w:pPr>
        <w:spacing w:after="100" w:line="252" w:lineRule="auto"/>
      </w:pPr>
      <w:r>
        <w:t>Следните материали са изключени от проекта и няма да бъдат приемани за обработка:</w:t>
      </w:r>
    </w:p>
    <w:p w:rsidR="004E4B4F" w:rsidRDefault="00AF5400">
      <w:pPr>
        <w:pStyle w:val="a0"/>
      </w:pPr>
      <w:r>
        <w:t>битов боклук, общински боклук и смесен градски боклук;</w:t>
      </w:r>
    </w:p>
    <w:p w:rsidR="004E4B4F" w:rsidRDefault="00AF5400">
      <w:pPr>
        <w:pStyle w:val="a0"/>
      </w:pPr>
      <w:r>
        <w:t>органични, хранителни и кухненски отпадъци;</w:t>
      </w:r>
    </w:p>
    <w:p w:rsidR="004E4B4F" w:rsidRDefault="00AF5400">
      <w:pPr>
        <w:pStyle w:val="a0"/>
      </w:pPr>
      <w:r>
        <w:t>медицински, инфекциозни, опасни или радиоактивни отпадъци;</w:t>
      </w:r>
    </w:p>
    <w:p w:rsidR="004E4B4F" w:rsidRDefault="00AF5400">
      <w:pPr>
        <w:pStyle w:val="a0"/>
      </w:pPr>
      <w:r>
        <w:t>акумулатори, батерии, съдове под налягане, взривоопасни материали;</w:t>
      </w:r>
    </w:p>
    <w:p w:rsidR="004E4B4F" w:rsidRDefault="00AF5400">
      <w:pPr>
        <w:pStyle w:val="a0"/>
      </w:pPr>
      <w:r>
        <w:t>киселини, разтворители, бои, течни химикали и материали с опасно замърсяване;</w:t>
      </w:r>
    </w:p>
    <w:p w:rsidR="004E4B4F" w:rsidRDefault="00AF5400">
      <w:pPr>
        <w:pStyle w:val="a0"/>
      </w:pPr>
      <w:r>
        <w:t>материали, предназначени за изгаряне или депониране.</w:t>
      </w:r>
    </w:p>
    <w:p w:rsidR="004E4B4F" w:rsidRDefault="00AF5400">
      <w:pPr>
        <w:pStyle w:val="1"/>
      </w:pPr>
      <w:r>
        <w:rPr>
          <w:rFonts w:ascii="Arial" w:hAnsi="Arial"/>
        </w:rPr>
        <w:t>8. Технологичен процес и последователност</w:t>
      </w:r>
    </w:p>
    <w:p w:rsidR="004E4B4F" w:rsidRDefault="00AF5400">
      <w:pPr>
        <w:spacing w:after="100" w:line="252" w:lineRule="auto"/>
      </w:pPr>
      <w:r>
        <w:t>Производственият процес е организиран като затворена и контролирана индустриална линия. Баля-отваряща машина не се предвижда като отделна основна машина в схемата; входящият материал ще се подава чрез контролирано подаване, дозиращ бункер, конвейери или друга безопасна техническа организация според вида на опаковката и материала.</w:t>
      </w:r>
    </w:p>
    <w:p w:rsidR="004E4B4F" w:rsidRDefault="00AF5400">
      <w:pPr>
        <w:pStyle w:val="a"/>
      </w:pPr>
      <w:r>
        <w:t>Приемане, регистрация, претегляне и документален контрол.</w:t>
      </w:r>
    </w:p>
    <w:p w:rsidR="004E4B4F" w:rsidRDefault="00AF5400">
      <w:pPr>
        <w:pStyle w:val="a"/>
      </w:pPr>
      <w:r>
        <w:t>Първичен визуален контрол, пробовземане и проверка на пластмасовия характер на материала.</w:t>
      </w:r>
    </w:p>
    <w:p w:rsidR="004E4B4F" w:rsidRDefault="00AF5400">
      <w:pPr>
        <w:pStyle w:val="a"/>
      </w:pPr>
      <w:r>
        <w:t>Контролирано подаване на big bag, палетизиран или насипен пластмасов материал към производствената линия.</w:t>
      </w:r>
    </w:p>
    <w:p w:rsidR="004E4B4F" w:rsidRDefault="00AF5400">
      <w:pPr>
        <w:pStyle w:val="a"/>
      </w:pPr>
      <w:r>
        <w:t>Механична подготовка: шредер, дробилка/гранулатор, сито, конвейери и локална аспирация.</w:t>
      </w:r>
    </w:p>
    <w:p w:rsidR="004E4B4F" w:rsidRDefault="00AF5400">
      <w:pPr>
        <w:pStyle w:val="a"/>
      </w:pPr>
      <w:r>
        <w:t>Метално и магнитно разделяне за защита на машините и ограничаване на искрообразуващи елементи.</w:t>
      </w:r>
    </w:p>
    <w:p w:rsidR="004E4B4F" w:rsidRDefault="00AF5400">
      <w:pPr>
        <w:pStyle w:val="a"/>
      </w:pPr>
      <w:r>
        <w:t>Въздушно разделяне и класификация по плътност за отделяне на леки/тежки фракции и прахови частици.</w:t>
      </w:r>
    </w:p>
    <w:p w:rsidR="004E4B4F" w:rsidRDefault="00AF5400">
      <w:pPr>
        <w:pStyle w:val="a"/>
      </w:pPr>
      <w:r>
        <w:t>Оптичен sortex и цветово разделяне.</w:t>
      </w:r>
    </w:p>
    <w:p w:rsidR="004E4B4F" w:rsidRDefault="00AF5400">
      <w:pPr>
        <w:pStyle w:val="a"/>
      </w:pPr>
      <w:r>
        <w:t>NIR сензорно разпознаване на полимерите.</w:t>
      </w:r>
    </w:p>
    <w:p w:rsidR="004E4B4F" w:rsidRDefault="00AF5400">
      <w:pPr>
        <w:pStyle w:val="a"/>
      </w:pPr>
      <w:r>
        <w:t>Електростатична сепарация според електрическото поведение на полимерите.</w:t>
      </w:r>
    </w:p>
    <w:p w:rsidR="004E4B4F" w:rsidRDefault="00AF5400">
      <w:pPr>
        <w:pStyle w:val="a"/>
      </w:pPr>
      <w:r>
        <w:t>Качествен контрол – полимер, цвят, влага, плътност, размер на частиците и MFI при необходимост.</w:t>
      </w:r>
    </w:p>
    <w:p w:rsidR="004E4B4F" w:rsidRDefault="00AF5400">
      <w:pPr>
        <w:pStyle w:val="a"/>
      </w:pPr>
      <w:r>
        <w:t>Екструзия и гранулиране или подготовка на директно класифицирани фракции според заявката на индустриалния клиент.</w:t>
      </w:r>
    </w:p>
    <w:p w:rsidR="004E4B4F" w:rsidRDefault="00AF5400">
      <w:pPr>
        <w:pStyle w:val="a"/>
      </w:pPr>
      <w:r>
        <w:t>Опаковане, закрито съхранение, етикетиране и експедиция.</w:t>
      </w:r>
    </w:p>
    <w:p w:rsidR="004E4B4F" w:rsidRDefault="00AF5400">
      <w:pPr>
        <w:pStyle w:val="1"/>
      </w:pPr>
      <w:r>
        <w:rPr>
          <w:rFonts w:ascii="Arial" w:hAnsi="Arial"/>
        </w:rPr>
        <w:t>9. Технологии за класификация и оползотворяване</w:t>
      </w:r>
    </w:p>
    <w:p w:rsidR="004E4B4F" w:rsidRDefault="00AF5400">
      <w:pPr>
        <w:spacing w:after="100" w:line="252" w:lineRule="auto"/>
      </w:pPr>
      <w:r>
        <w:t>В проекта ще се използва комбинация от технологии, тъй като различните пластмаси могат да изглеждат сходни, но да имат различна полимерна структура, плътност, електростатично поведение и индустриална приложимост.</w:t>
      </w:r>
    </w:p>
    <w:tbl>
      <w:tblPr>
        <w:tblStyle w:val="aff2"/>
        <w:tblW w:w="0" w:type="auto"/>
        <w:jc w:val="center"/>
        <w:tblLook w:val="04A0" w:firstRow="1" w:lastRow="0" w:firstColumn="1" w:lastColumn="0" w:noHBand="0" w:noVBand="1"/>
      </w:tblPr>
      <w:tblGrid>
        <w:gridCol w:w="2835"/>
        <w:gridCol w:w="6236"/>
      </w:tblGrid>
      <w:tr w:rsidR="004E4B4F">
        <w:trPr>
          <w:jc w:val="center"/>
        </w:trPr>
        <w:tc>
          <w:tcPr>
            <w:tcW w:w="2835" w:type="dxa"/>
            <w:shd w:val="clear" w:color="auto" w:fill="D9EAF7"/>
            <w:vAlign w:val="center"/>
          </w:tcPr>
          <w:p w:rsidR="004E4B4F" w:rsidRDefault="00AF5400">
            <w:r>
              <w:rPr>
                <w:b/>
                <w:sz w:val="18"/>
              </w:rPr>
              <w:t>Технология</w:t>
            </w:r>
          </w:p>
        </w:tc>
        <w:tc>
          <w:tcPr>
            <w:tcW w:w="6236" w:type="dxa"/>
            <w:shd w:val="clear" w:color="auto" w:fill="D9EAF7"/>
            <w:vAlign w:val="center"/>
          </w:tcPr>
          <w:p w:rsidR="004E4B4F" w:rsidRDefault="00AF5400">
            <w:r>
              <w:rPr>
                <w:b/>
                <w:sz w:val="18"/>
              </w:rPr>
              <w:t>Роля в процеса</w:t>
            </w:r>
          </w:p>
        </w:tc>
      </w:tr>
      <w:tr w:rsidR="004E4B4F">
        <w:trPr>
          <w:jc w:val="center"/>
        </w:trPr>
        <w:tc>
          <w:tcPr>
            <w:tcW w:w="2835" w:type="dxa"/>
            <w:vAlign w:val="center"/>
          </w:tcPr>
          <w:p w:rsidR="004E4B4F" w:rsidRDefault="00AF5400">
            <w:r>
              <w:rPr>
                <w:sz w:val="18"/>
              </w:rPr>
              <w:t>Механична подготовка</w:t>
            </w:r>
          </w:p>
        </w:tc>
        <w:tc>
          <w:tcPr>
            <w:tcW w:w="6236" w:type="dxa"/>
            <w:vAlign w:val="center"/>
          </w:tcPr>
          <w:p w:rsidR="004E4B4F" w:rsidRDefault="00AF5400">
            <w:r>
              <w:rPr>
                <w:sz w:val="18"/>
              </w:rPr>
              <w:t>Намаляване на размера, подготовка за последващо разделяне и стабилно подаване.</w:t>
            </w:r>
          </w:p>
        </w:tc>
      </w:tr>
      <w:tr w:rsidR="004E4B4F">
        <w:trPr>
          <w:jc w:val="center"/>
        </w:trPr>
        <w:tc>
          <w:tcPr>
            <w:tcW w:w="2835" w:type="dxa"/>
            <w:vAlign w:val="center"/>
          </w:tcPr>
          <w:p w:rsidR="004E4B4F" w:rsidRDefault="00AF5400">
            <w:r>
              <w:rPr>
                <w:sz w:val="18"/>
              </w:rPr>
              <w:lastRenderedPageBreak/>
              <w:t>Метално и магнитно разделяне</w:t>
            </w:r>
          </w:p>
        </w:tc>
        <w:tc>
          <w:tcPr>
            <w:tcW w:w="6236" w:type="dxa"/>
            <w:vAlign w:val="center"/>
          </w:tcPr>
          <w:p w:rsidR="004E4B4F" w:rsidRDefault="00AF5400">
            <w:r>
              <w:rPr>
                <w:sz w:val="18"/>
              </w:rPr>
              <w:t>Отделяне на метални примеси и защита на оборудването.</w:t>
            </w:r>
          </w:p>
        </w:tc>
      </w:tr>
      <w:tr w:rsidR="004E4B4F">
        <w:trPr>
          <w:jc w:val="center"/>
        </w:trPr>
        <w:tc>
          <w:tcPr>
            <w:tcW w:w="2835" w:type="dxa"/>
            <w:vAlign w:val="center"/>
          </w:tcPr>
          <w:p w:rsidR="004E4B4F" w:rsidRDefault="00AF5400">
            <w:r>
              <w:rPr>
                <w:sz w:val="18"/>
              </w:rPr>
              <w:t>Въздушно/плътностно разделяне</w:t>
            </w:r>
          </w:p>
        </w:tc>
        <w:tc>
          <w:tcPr>
            <w:tcW w:w="6236" w:type="dxa"/>
            <w:vAlign w:val="center"/>
          </w:tcPr>
          <w:p w:rsidR="004E4B4F" w:rsidRDefault="00AF5400">
            <w:r>
              <w:rPr>
                <w:sz w:val="18"/>
              </w:rPr>
              <w:t>Разделяне на леки и тежки фракции, контрол на прах и подготовка за оптично/NIR разделяне.</w:t>
            </w:r>
          </w:p>
        </w:tc>
      </w:tr>
      <w:tr w:rsidR="004E4B4F">
        <w:trPr>
          <w:jc w:val="center"/>
        </w:trPr>
        <w:tc>
          <w:tcPr>
            <w:tcW w:w="2835" w:type="dxa"/>
            <w:vAlign w:val="center"/>
          </w:tcPr>
          <w:p w:rsidR="004E4B4F" w:rsidRDefault="00AF5400">
            <w:r>
              <w:rPr>
                <w:sz w:val="18"/>
              </w:rPr>
              <w:t>Оптичен sortex и цветово разделяне</w:t>
            </w:r>
          </w:p>
        </w:tc>
        <w:tc>
          <w:tcPr>
            <w:tcW w:w="6236" w:type="dxa"/>
            <w:vAlign w:val="center"/>
          </w:tcPr>
          <w:p w:rsidR="004E4B4F" w:rsidRDefault="00AF5400">
            <w:r>
              <w:rPr>
                <w:sz w:val="18"/>
              </w:rPr>
              <w:t>Класификация по цвят, повърхност и видими характеристики.</w:t>
            </w:r>
          </w:p>
        </w:tc>
      </w:tr>
      <w:tr w:rsidR="004E4B4F">
        <w:trPr>
          <w:jc w:val="center"/>
        </w:trPr>
        <w:tc>
          <w:tcPr>
            <w:tcW w:w="2835" w:type="dxa"/>
            <w:vAlign w:val="center"/>
          </w:tcPr>
          <w:p w:rsidR="004E4B4F" w:rsidRDefault="00AF5400">
            <w:r>
              <w:rPr>
                <w:sz w:val="18"/>
              </w:rPr>
              <w:t>NIR сензорно разпознаване</w:t>
            </w:r>
          </w:p>
        </w:tc>
        <w:tc>
          <w:tcPr>
            <w:tcW w:w="6236" w:type="dxa"/>
            <w:vAlign w:val="center"/>
          </w:tcPr>
          <w:p w:rsidR="004E4B4F" w:rsidRDefault="00AF5400">
            <w:r>
              <w:rPr>
                <w:sz w:val="18"/>
              </w:rPr>
              <w:t>Разпознаване на PE, PP, PET, PVC, ABS, PS, PA и технически пластмаси.</w:t>
            </w:r>
          </w:p>
        </w:tc>
      </w:tr>
      <w:tr w:rsidR="004E4B4F">
        <w:trPr>
          <w:jc w:val="center"/>
        </w:trPr>
        <w:tc>
          <w:tcPr>
            <w:tcW w:w="2835" w:type="dxa"/>
            <w:vAlign w:val="center"/>
          </w:tcPr>
          <w:p w:rsidR="004E4B4F" w:rsidRDefault="00AF5400">
            <w:r>
              <w:rPr>
                <w:sz w:val="18"/>
              </w:rPr>
              <w:t>Електростатична сепарация</w:t>
            </w:r>
          </w:p>
        </w:tc>
        <w:tc>
          <w:tcPr>
            <w:tcW w:w="6236" w:type="dxa"/>
            <w:vAlign w:val="center"/>
          </w:tcPr>
          <w:p w:rsidR="004E4B4F" w:rsidRDefault="00AF5400">
            <w:r>
              <w:rPr>
                <w:sz w:val="18"/>
              </w:rPr>
              <w:t>Разделяне на полимери със сходен външен вид според електростатично поведение.</w:t>
            </w:r>
          </w:p>
        </w:tc>
      </w:tr>
      <w:tr w:rsidR="004E4B4F">
        <w:trPr>
          <w:jc w:val="center"/>
        </w:trPr>
        <w:tc>
          <w:tcPr>
            <w:tcW w:w="2835" w:type="dxa"/>
            <w:vAlign w:val="center"/>
          </w:tcPr>
          <w:p w:rsidR="004E4B4F" w:rsidRDefault="00AF5400">
            <w:r>
              <w:rPr>
                <w:sz w:val="18"/>
              </w:rPr>
              <w:t>Екструзия и гранулиране</w:t>
            </w:r>
          </w:p>
        </w:tc>
        <w:tc>
          <w:tcPr>
            <w:tcW w:w="6236" w:type="dxa"/>
            <w:vAlign w:val="center"/>
          </w:tcPr>
          <w:p w:rsidR="004E4B4F" w:rsidRDefault="00AF5400">
            <w:r>
              <w:rPr>
                <w:sz w:val="18"/>
              </w:rPr>
              <w:t>Подготовка на годна за индустриална употреба вторична пластмасова суровина.</w:t>
            </w:r>
          </w:p>
        </w:tc>
      </w:tr>
    </w:tbl>
    <w:p w:rsidR="004E4B4F" w:rsidRDefault="00AF5400">
      <w:pPr>
        <w:pStyle w:val="1"/>
      </w:pPr>
      <w:r>
        <w:rPr>
          <w:rFonts w:ascii="Arial" w:hAnsi="Arial"/>
        </w:rPr>
        <w:t>10. Капацитет, етапност и режим на работа</w:t>
      </w:r>
    </w:p>
    <w:p w:rsidR="004E4B4F" w:rsidRDefault="00AF5400">
      <w:pPr>
        <w:spacing w:after="100" w:line="252" w:lineRule="auto"/>
      </w:pPr>
      <w:r>
        <w:t>Планираният технически капацитет на проекта е приблизително 1 000 тона месечно. Тази стойност представлява проектна техническа цел и не означава работа на пълно натоварване от първия ден.</w:t>
      </w:r>
    </w:p>
    <w:p w:rsidR="004E4B4F" w:rsidRDefault="00AF5400">
      <w:pPr>
        <w:spacing w:after="100" w:line="252" w:lineRule="auto"/>
      </w:pPr>
      <w:r>
        <w:t>Инсталацията ще бъде въведена поетапно. В първия период приоритет ще бъдат монтажът на машините, системните тестове, обучение на персонала, стабилизиране на процеса, качествен контрол, изпълнение на указанията на компетентните органи и съответствие с разрешителните условия.</w:t>
      </w:r>
    </w:p>
    <w:p w:rsidR="004E4B4F" w:rsidRDefault="00AF5400">
      <w:pPr>
        <w:spacing w:after="100" w:line="252" w:lineRule="auto"/>
      </w:pPr>
      <w:r>
        <w:t>Реалният капацитет ще се развива според качеството и наличността на материалите, пазарните заявки, квалификацията на персонала, техническата готовност на машините, енергийната инфраструктура и условията в съответните разрешителни документи.</w:t>
      </w:r>
    </w:p>
    <w:p w:rsidR="004E4B4F" w:rsidRDefault="00AF5400">
      <w:pPr>
        <w:pStyle w:val="1"/>
      </w:pPr>
      <w:r>
        <w:rPr>
          <w:rFonts w:ascii="Arial" w:hAnsi="Arial"/>
        </w:rPr>
        <w:t>11. Води и управление на процесна вода</w:t>
      </w:r>
    </w:p>
    <w:p w:rsidR="004E4B4F" w:rsidRDefault="00AF5400">
      <w:pPr>
        <w:spacing w:after="100" w:line="252" w:lineRule="auto"/>
      </w:pPr>
      <w:r>
        <w:t>Използването на вода не е основният предмет на проекта. Основната дейност е техническа класификация, полимерно разделяне и оползотворяване на пластмасови материали. В участъците, в които се използва вода за технически цели, ще бъде приложена контролирана система за управление на процесните води.</w:t>
      </w:r>
    </w:p>
    <w:p w:rsidR="004E4B4F" w:rsidRDefault="00AF5400">
      <w:pPr>
        <w:spacing w:after="100" w:line="252" w:lineRule="auto"/>
      </w:pPr>
      <w:r>
        <w:t>Системата ще включва филтрация, електрокоагулация и reverse osmosis / обратна осмоза. Целта е водата да бъде управлявана технически, да се отделят твърди частици и замърсители, да се поддържа качество на процеса и да се ограничава неконтролирано образуване на отпадъчни води.</w:t>
      </w:r>
    </w:p>
    <w:p w:rsidR="004E4B4F" w:rsidRDefault="00AF5400">
      <w:pPr>
        <w:spacing w:after="100" w:line="252" w:lineRule="auto"/>
      </w:pPr>
      <w:r>
        <w:t>При наличие на необходимост от заустване, същото ще се извършва само при спазване на приложимите условия, разрешителни режими и изисквания на компетентните органи.</w:t>
      </w:r>
    </w:p>
    <w:p w:rsidR="004E4B4F" w:rsidRDefault="00AF5400">
      <w:pPr>
        <w:pStyle w:val="1"/>
      </w:pPr>
      <w:r>
        <w:rPr>
          <w:rFonts w:ascii="Arial" w:hAnsi="Arial"/>
        </w:rPr>
        <w:t>12. Атмосферен въздух, прах и миризми</w:t>
      </w:r>
    </w:p>
    <w:p w:rsidR="004E4B4F" w:rsidRDefault="00AF5400">
      <w:pPr>
        <w:spacing w:after="100" w:line="252" w:lineRule="auto"/>
      </w:pPr>
      <w:r>
        <w:t>Проектът не работи с органични, хранителни или биоразградими отпадъци и не се очаква формиране на миризми, характерни за смесени битови или органични отпадъци.</w:t>
      </w:r>
    </w:p>
    <w:p w:rsidR="004E4B4F" w:rsidRDefault="00AF5400">
      <w:pPr>
        <w:spacing w:after="100" w:line="252" w:lineRule="auto"/>
      </w:pPr>
      <w:r>
        <w:t>Потенциалните прахови емисии могат да възникнат основно при механична подготовка, раздробяване, пресяване и транспортиране на сухи пластмасови фракции. За ограничаване на тези въздействия се предвиждат локална аспирация, филтри, затворени транспортни системи, поддържане на чистота и редовна профилактика.</w:t>
      </w:r>
    </w:p>
    <w:p w:rsidR="004E4B4F" w:rsidRDefault="00AF5400">
      <w:pPr>
        <w:spacing w:after="100" w:line="252" w:lineRule="auto"/>
      </w:pPr>
      <w:r>
        <w:t>Екструзията и гранулирането ще се извършват с температурно контролирани машини и при технически режими, съобразени с вида на обработвания полимер.</w:t>
      </w:r>
    </w:p>
    <w:p w:rsidR="004E4B4F" w:rsidRDefault="00AF5400">
      <w:pPr>
        <w:pStyle w:val="1"/>
      </w:pPr>
      <w:r>
        <w:rPr>
          <w:rFonts w:ascii="Arial" w:hAnsi="Arial"/>
        </w:rPr>
        <w:t>13. Шум и вибрации</w:t>
      </w:r>
    </w:p>
    <w:p w:rsidR="004E4B4F" w:rsidRDefault="00AF5400">
      <w:pPr>
        <w:spacing w:after="100" w:line="252" w:lineRule="auto"/>
      </w:pPr>
      <w:r>
        <w:t>Източници на шум могат да бъдат шредери, дробилки, вентилатори, компресори, конвейери, мотокари и екструзионни линии. Предвижда се машините да бъдат разположени в производствени зони, с техническа поддръжка и организационни мерки за ограничаване на шума.</w:t>
      </w:r>
    </w:p>
    <w:p w:rsidR="004E4B4F" w:rsidRDefault="00AF5400">
      <w:pPr>
        <w:spacing w:after="100" w:line="252" w:lineRule="auto"/>
      </w:pPr>
      <w:r>
        <w:lastRenderedPageBreak/>
        <w:t>При необходимост ще бъдат приложени допълнителни мерки като антивибрационни основи, технически панели, режим на работа, вътрешна логистика и поддръжка на машините с цел съответствие с приложимите изисквания.</w:t>
      </w:r>
    </w:p>
    <w:p w:rsidR="004E4B4F" w:rsidRDefault="00AF5400">
      <w:pPr>
        <w:pStyle w:val="1"/>
      </w:pPr>
      <w:r>
        <w:rPr>
          <w:rFonts w:ascii="Arial" w:hAnsi="Arial"/>
        </w:rPr>
        <w:t>14. Почви, подземни води и площадкова организация</w:t>
      </w:r>
    </w:p>
    <w:p w:rsidR="004E4B4F" w:rsidRDefault="00AF5400">
      <w:pPr>
        <w:spacing w:after="100" w:line="252" w:lineRule="auto"/>
      </w:pPr>
      <w:r>
        <w:t>Дейността ще се извършва в индустриален имот, предназначен за производствени и складови функции. Проектът не предвижда депониране на отпадъци, открито неорганизирано складиране на смесен боклук или земни дейности с висок екологичен риск.</w:t>
      </w:r>
    </w:p>
    <w:p w:rsidR="004E4B4F" w:rsidRDefault="00AF5400">
      <w:pPr>
        <w:spacing w:after="100" w:line="252" w:lineRule="auto"/>
      </w:pPr>
      <w:r>
        <w:t>Материалите ще се съхраняват в обособени зони, а готовата продукция – в закрити площи или организирани складови участъци. Площадковата организация ще включва вътрешни логистични пътища, противопожарни проходи, зони за прием, производствени линии, складове и технически зони.</w:t>
      </w:r>
    </w:p>
    <w:p w:rsidR="004E4B4F" w:rsidRDefault="00AF5400">
      <w:pPr>
        <w:pStyle w:val="1"/>
      </w:pPr>
      <w:r>
        <w:rPr>
          <w:rFonts w:ascii="Arial" w:hAnsi="Arial"/>
        </w:rPr>
        <w:t>15. Управление на отпадъците, остатъчните фракции и отчетност</w:t>
      </w:r>
    </w:p>
    <w:p w:rsidR="004E4B4F" w:rsidRDefault="00AF5400">
      <w:pPr>
        <w:spacing w:after="100" w:line="252" w:lineRule="auto"/>
      </w:pPr>
      <w:r>
        <w:t>Основният поток в проекта е входящ пластмасов материал, който се подлага на техническо третиране и оползотворяване като вторична суровина. Въпреки това при процеса могат да се отделят остатъчни фракции, прах, метални примеси, филтърни остатъци или други технически отделени материали.</w:t>
      </w:r>
    </w:p>
    <w:p w:rsidR="004E4B4F" w:rsidRDefault="00AF5400">
      <w:pPr>
        <w:spacing w:after="100" w:line="252" w:lineRule="auto"/>
      </w:pPr>
      <w:r>
        <w:t>Остатъчните фракции ще бъдат събирани разделно, временно съхранявани в обозначени съдове/зони и предавани на лица с необходимите разрешения. Ще се води отчетност за приети материали, произведени фракции, готова продукция и остатъци съгласно изискванията на Закона за управление на отпадъците и приложимите наредби.</w:t>
      </w:r>
    </w:p>
    <w:p w:rsidR="004E4B4F" w:rsidRDefault="00AF5400">
      <w:pPr>
        <w:pStyle w:val="1"/>
      </w:pPr>
      <w:r>
        <w:rPr>
          <w:rFonts w:ascii="Arial" w:hAnsi="Arial"/>
        </w:rPr>
        <w:t>16. Пожарна безопасност и аварийна готовност</w:t>
      </w:r>
    </w:p>
    <w:p w:rsidR="004E4B4F" w:rsidRDefault="00AF5400">
      <w:pPr>
        <w:spacing w:after="100" w:line="252" w:lineRule="auto"/>
      </w:pPr>
      <w:r>
        <w:t>Инсталацията ще бъде планирана с многостепенни технически и организационни мерки за предотвратяване на възникване на пожар. Подходът е превантивен: правилна складова организация, безопасни разстояния, свободни вътрешни пътища, контрол на електрическите системи, температурен контрол на машините, забрана на открит огън и контролирани ремонтни дейности.</w:t>
      </w:r>
    </w:p>
    <w:p w:rsidR="004E4B4F" w:rsidRDefault="00AF5400">
      <w:pPr>
        <w:pStyle w:val="a0"/>
      </w:pPr>
      <w:r>
        <w:t>организирани складови зони и недопускане на хаотични купчини;</w:t>
      </w:r>
    </w:p>
    <w:p w:rsidR="004E4B4F" w:rsidRDefault="00AF5400">
      <w:pPr>
        <w:pStyle w:val="a0"/>
      </w:pPr>
      <w:r>
        <w:t>свободни пожарни и евакуационни пътища;</w:t>
      </w:r>
    </w:p>
    <w:p w:rsidR="004E4B4F" w:rsidRDefault="00AF5400">
      <w:pPr>
        <w:pStyle w:val="a0"/>
      </w:pPr>
      <w:r>
        <w:t>пожароизвестяване, аларма, пожарогасително оборудване и аварийни бутони;</w:t>
      </w:r>
    </w:p>
    <w:p w:rsidR="004E4B4F" w:rsidRDefault="00AF5400">
      <w:pPr>
        <w:pStyle w:val="a0"/>
      </w:pPr>
      <w:r>
        <w:t>редовна техническа поддръжка на шредери, дробилки, екструдери, sortex, NIR и електростатични системи;</w:t>
      </w:r>
    </w:p>
    <w:p w:rsidR="004E4B4F" w:rsidRDefault="00AF5400">
      <w:pPr>
        <w:pStyle w:val="a0"/>
      </w:pPr>
      <w:r>
        <w:t>метално и магнитно разделяне за намаляване на искрообразуващи частици;</w:t>
      </w:r>
    </w:p>
    <w:p w:rsidR="004E4B4F" w:rsidRDefault="00AF5400">
      <w:pPr>
        <w:pStyle w:val="a0"/>
      </w:pPr>
      <w:r>
        <w:t>обучение на персонала по пожарна превенция, евакуация и аварийни действия.</w:t>
      </w:r>
    </w:p>
    <w:p w:rsidR="004E4B4F" w:rsidRDefault="00AF5400">
      <w:pPr>
        <w:pStyle w:val="1"/>
      </w:pPr>
      <w:r>
        <w:rPr>
          <w:rFonts w:ascii="Arial" w:hAnsi="Arial"/>
        </w:rPr>
        <w:t>17. Инвестиция и оборудване</w:t>
      </w:r>
    </w:p>
    <w:p w:rsidR="004E4B4F" w:rsidRDefault="00AF5400">
      <w:pPr>
        <w:spacing w:after="100" w:line="252" w:lineRule="auto"/>
      </w:pPr>
      <w:r>
        <w:t>В първия етап на проекта се планира инвестиция от приблизително 3 000 000 евро само за машини. Тази сума не представлява общата инвестиционна стойност на проекта.</w:t>
      </w:r>
    </w:p>
    <w:p w:rsidR="004E4B4F" w:rsidRDefault="00AF5400">
      <w:pPr>
        <w:spacing w:after="100" w:line="252" w:lineRule="auto"/>
      </w:pPr>
      <w:r>
        <w:t>Извън тази стойност остават: сграда, наем, земя, разрешителни процедури, електрическа инфраструктура, персонал, оборотен капитал, суровини/наличности, вътрешно устройство, официални такси и всички други инвестиции.</w:t>
      </w:r>
    </w:p>
    <w:p w:rsidR="004E4B4F" w:rsidRDefault="00AF5400">
      <w:pPr>
        <w:spacing w:after="100" w:line="252" w:lineRule="auto"/>
      </w:pPr>
      <w:r>
        <w:t>Първият машинен инвестиционен етап включва:</w:t>
      </w:r>
    </w:p>
    <w:p w:rsidR="004E4B4F" w:rsidRDefault="00AF5400">
      <w:pPr>
        <w:pStyle w:val="a0"/>
      </w:pPr>
      <w:r>
        <w:t>пластмасопреработващи машини, шредер и дробилки;</w:t>
      </w:r>
    </w:p>
    <w:p w:rsidR="004E4B4F" w:rsidRDefault="00AF5400">
      <w:pPr>
        <w:pStyle w:val="a0"/>
      </w:pPr>
      <w:r>
        <w:t>електростатична сепарация, оптичен sortex, NIR сензорна сепарация и цветово разделяне;</w:t>
      </w:r>
    </w:p>
    <w:p w:rsidR="004E4B4F" w:rsidRDefault="00AF5400">
      <w:pPr>
        <w:pStyle w:val="a0"/>
      </w:pPr>
      <w:r>
        <w:t>метални, магнитни, въздушни и плътностни сепаратори;</w:t>
      </w:r>
    </w:p>
    <w:p w:rsidR="004E4B4F" w:rsidRDefault="00AF5400">
      <w:pPr>
        <w:pStyle w:val="a0"/>
      </w:pPr>
      <w:r>
        <w:t>сита, конвейери, аспирация, филтри и прахоулавяне;</w:t>
      </w:r>
    </w:p>
    <w:p w:rsidR="004E4B4F" w:rsidRDefault="00AF5400">
      <w:pPr>
        <w:pStyle w:val="a0"/>
      </w:pPr>
      <w:r>
        <w:t>филтрация, електрокоагулация и reverse osmosis / обратна осмоза;</w:t>
      </w:r>
    </w:p>
    <w:p w:rsidR="004E4B4F" w:rsidRDefault="00AF5400">
      <w:pPr>
        <w:pStyle w:val="a0"/>
      </w:pPr>
      <w:r>
        <w:lastRenderedPageBreak/>
        <w:t>екструзионни и гранулиращи линии, филтри за стопилка / screen changer, гранулатор, охлаждане и сушене;</w:t>
      </w:r>
    </w:p>
    <w:p w:rsidR="004E4B4F" w:rsidRDefault="00AF5400">
      <w:pPr>
        <w:pStyle w:val="a0"/>
      </w:pPr>
      <w:r>
        <w:t>big bag пълнене, пакетиране, качествен контрол, лабораторно оборудване, мотокари, вътрешна логистика, аварийни и пожарни системи.</w:t>
      </w:r>
    </w:p>
    <w:p w:rsidR="004E4B4F" w:rsidRDefault="00AF5400">
      <w:pPr>
        <w:spacing w:after="100" w:line="252" w:lineRule="auto"/>
      </w:pPr>
      <w:r>
        <w:t>След първия етап машинният парк и производствените линии могат да бъдат разширявани поетапно според разрешителните, пазара, партньорствата, клиентските заявки и техническата готовност.</w:t>
      </w:r>
    </w:p>
    <w:p w:rsidR="004E4B4F" w:rsidRDefault="00AF5400">
      <w:pPr>
        <w:pStyle w:val="1"/>
      </w:pPr>
      <w:r>
        <w:rPr>
          <w:rFonts w:ascii="Arial" w:hAnsi="Arial"/>
        </w:rPr>
        <w:t>18. Персонал, заетост и обучение</w:t>
      </w:r>
    </w:p>
    <w:p w:rsidR="004E4B4F" w:rsidRDefault="00AF5400">
      <w:pPr>
        <w:spacing w:after="100" w:line="252" w:lineRule="auto"/>
      </w:pPr>
      <w:r>
        <w:t>При пълна производствена организация се предвижда във всяка смяна да работят приблизително 25–30 души. Броят на служителите ще се увеличава поетапно според броя на линиите, смяната, материалния поток, нуждите от качествен контрол и поддръжка.</w:t>
      </w:r>
    </w:p>
    <w:p w:rsidR="004E4B4F" w:rsidRDefault="00AF5400">
      <w:pPr>
        <w:spacing w:after="100" w:line="252" w:lineRule="auto"/>
      </w:pPr>
      <w:r>
        <w:t>Персоналът ще бъде организиран в следните направления: прием и контрол на материали, производствено подаване, механична подготовка, разделителни системи, гранулиране, пакетиране, склад, мотокари, поддръжка, процесна вода, пожарна безопасност, контрол на качеството и управление на смяната.</w:t>
      </w:r>
    </w:p>
    <w:p w:rsidR="004E4B4F" w:rsidRDefault="00AF5400">
      <w:pPr>
        <w:spacing w:after="100" w:line="252" w:lineRule="auto"/>
      </w:pPr>
      <w:r>
        <w:t>Проектът има за цел да създаде не само производствена дейност, но и дългосрочна техническа заетост, обучение на местни кадри и натрупване на професионални знания във Велинград.</w:t>
      </w:r>
    </w:p>
    <w:p w:rsidR="004E4B4F" w:rsidRDefault="00AF5400">
      <w:pPr>
        <w:pStyle w:val="1"/>
      </w:pPr>
      <w:r>
        <w:rPr>
          <w:rFonts w:ascii="Arial" w:hAnsi="Arial"/>
        </w:rPr>
        <w:t>19. Предварителна оценка на въздействието и мерки за ограничаване</w:t>
      </w:r>
    </w:p>
    <w:tbl>
      <w:tblPr>
        <w:tblStyle w:val="aff2"/>
        <w:tblW w:w="0" w:type="auto"/>
        <w:jc w:val="center"/>
        <w:tblLook w:val="04A0" w:firstRow="1" w:lastRow="0" w:firstColumn="1" w:lastColumn="0" w:noHBand="0" w:noVBand="1"/>
      </w:tblPr>
      <w:tblGrid>
        <w:gridCol w:w="1701"/>
        <w:gridCol w:w="3402"/>
        <w:gridCol w:w="3969"/>
      </w:tblGrid>
      <w:tr w:rsidR="004E4B4F">
        <w:trPr>
          <w:jc w:val="center"/>
        </w:trPr>
        <w:tc>
          <w:tcPr>
            <w:tcW w:w="1701" w:type="dxa"/>
            <w:shd w:val="clear" w:color="auto" w:fill="D9EAF7"/>
            <w:vAlign w:val="center"/>
          </w:tcPr>
          <w:p w:rsidR="004E4B4F" w:rsidRDefault="00AF5400">
            <w:r>
              <w:rPr>
                <w:b/>
                <w:sz w:val="18"/>
              </w:rPr>
              <w:t>Компонент</w:t>
            </w:r>
          </w:p>
        </w:tc>
        <w:tc>
          <w:tcPr>
            <w:tcW w:w="3402" w:type="dxa"/>
            <w:shd w:val="clear" w:color="auto" w:fill="D9EAF7"/>
            <w:vAlign w:val="center"/>
          </w:tcPr>
          <w:p w:rsidR="004E4B4F" w:rsidRDefault="00AF5400">
            <w:r>
              <w:rPr>
                <w:b/>
                <w:sz w:val="18"/>
              </w:rPr>
              <w:t>Потенциално въздействие</w:t>
            </w:r>
          </w:p>
        </w:tc>
        <w:tc>
          <w:tcPr>
            <w:tcW w:w="3969" w:type="dxa"/>
            <w:shd w:val="clear" w:color="auto" w:fill="D9EAF7"/>
            <w:vAlign w:val="center"/>
          </w:tcPr>
          <w:p w:rsidR="004E4B4F" w:rsidRDefault="00AF5400">
            <w:r>
              <w:rPr>
                <w:b/>
                <w:sz w:val="18"/>
              </w:rPr>
              <w:t>Предвидени мерки</w:t>
            </w:r>
          </w:p>
        </w:tc>
      </w:tr>
      <w:tr w:rsidR="004E4B4F">
        <w:trPr>
          <w:jc w:val="center"/>
        </w:trPr>
        <w:tc>
          <w:tcPr>
            <w:tcW w:w="1701" w:type="dxa"/>
            <w:vAlign w:val="center"/>
          </w:tcPr>
          <w:p w:rsidR="004E4B4F" w:rsidRDefault="00AF5400">
            <w:r>
              <w:rPr>
                <w:sz w:val="18"/>
              </w:rPr>
              <w:t>Въздух</w:t>
            </w:r>
          </w:p>
        </w:tc>
        <w:tc>
          <w:tcPr>
            <w:tcW w:w="3402" w:type="dxa"/>
            <w:vAlign w:val="center"/>
          </w:tcPr>
          <w:p w:rsidR="004E4B4F" w:rsidRDefault="00AF5400">
            <w:r>
              <w:rPr>
                <w:sz w:val="18"/>
              </w:rPr>
              <w:t>Прах при механична подготовка; технологични емисии при екструзия.</w:t>
            </w:r>
          </w:p>
        </w:tc>
        <w:tc>
          <w:tcPr>
            <w:tcW w:w="3969" w:type="dxa"/>
            <w:vAlign w:val="center"/>
          </w:tcPr>
          <w:p w:rsidR="004E4B4F" w:rsidRDefault="00AF5400">
            <w:r>
              <w:rPr>
                <w:sz w:val="18"/>
              </w:rPr>
              <w:t>Локална аспирация, филтри, затворени транспортни системи, температурен контрол, поддръжка.</w:t>
            </w:r>
          </w:p>
        </w:tc>
      </w:tr>
      <w:tr w:rsidR="004E4B4F">
        <w:trPr>
          <w:jc w:val="center"/>
        </w:trPr>
        <w:tc>
          <w:tcPr>
            <w:tcW w:w="1701" w:type="dxa"/>
            <w:vAlign w:val="center"/>
          </w:tcPr>
          <w:p w:rsidR="004E4B4F" w:rsidRDefault="00AF5400">
            <w:r>
              <w:rPr>
                <w:sz w:val="18"/>
              </w:rPr>
              <w:t>Води</w:t>
            </w:r>
          </w:p>
        </w:tc>
        <w:tc>
          <w:tcPr>
            <w:tcW w:w="3402" w:type="dxa"/>
            <w:vAlign w:val="center"/>
          </w:tcPr>
          <w:p w:rsidR="004E4B4F" w:rsidRDefault="00AF5400">
            <w:r>
              <w:rPr>
                <w:sz w:val="18"/>
              </w:rPr>
              <w:t>Процесни води в технически участъци.</w:t>
            </w:r>
          </w:p>
        </w:tc>
        <w:tc>
          <w:tcPr>
            <w:tcW w:w="3969" w:type="dxa"/>
            <w:vAlign w:val="center"/>
          </w:tcPr>
          <w:p w:rsidR="004E4B4F" w:rsidRDefault="00AF5400">
            <w:r>
              <w:rPr>
                <w:sz w:val="18"/>
              </w:rPr>
              <w:t>Филтрация, електрокоагулация, обратна осмоза, контролирано управление.</w:t>
            </w:r>
          </w:p>
        </w:tc>
      </w:tr>
      <w:tr w:rsidR="004E4B4F">
        <w:trPr>
          <w:jc w:val="center"/>
        </w:trPr>
        <w:tc>
          <w:tcPr>
            <w:tcW w:w="1701" w:type="dxa"/>
            <w:vAlign w:val="center"/>
          </w:tcPr>
          <w:p w:rsidR="004E4B4F" w:rsidRDefault="00AF5400">
            <w:r>
              <w:rPr>
                <w:sz w:val="18"/>
              </w:rPr>
              <w:t>Почви</w:t>
            </w:r>
          </w:p>
        </w:tc>
        <w:tc>
          <w:tcPr>
            <w:tcW w:w="3402" w:type="dxa"/>
            <w:vAlign w:val="center"/>
          </w:tcPr>
          <w:p w:rsidR="004E4B4F" w:rsidRDefault="00AF5400">
            <w:r>
              <w:rPr>
                <w:sz w:val="18"/>
              </w:rPr>
              <w:t>Риск при неорганизирано съхранение.</w:t>
            </w:r>
          </w:p>
        </w:tc>
        <w:tc>
          <w:tcPr>
            <w:tcW w:w="3969" w:type="dxa"/>
            <w:vAlign w:val="center"/>
          </w:tcPr>
          <w:p w:rsidR="004E4B4F" w:rsidRDefault="00AF5400">
            <w:r>
              <w:rPr>
                <w:sz w:val="18"/>
              </w:rPr>
              <w:t>Обособени зони, закрито съхранение, чистота, забрана за депониране.</w:t>
            </w:r>
          </w:p>
        </w:tc>
      </w:tr>
      <w:tr w:rsidR="004E4B4F">
        <w:trPr>
          <w:jc w:val="center"/>
        </w:trPr>
        <w:tc>
          <w:tcPr>
            <w:tcW w:w="1701" w:type="dxa"/>
            <w:vAlign w:val="center"/>
          </w:tcPr>
          <w:p w:rsidR="004E4B4F" w:rsidRDefault="00AF5400">
            <w:r>
              <w:rPr>
                <w:sz w:val="18"/>
              </w:rPr>
              <w:t>Шум</w:t>
            </w:r>
          </w:p>
        </w:tc>
        <w:tc>
          <w:tcPr>
            <w:tcW w:w="3402" w:type="dxa"/>
            <w:vAlign w:val="center"/>
          </w:tcPr>
          <w:p w:rsidR="004E4B4F" w:rsidRDefault="00AF5400">
            <w:r>
              <w:rPr>
                <w:sz w:val="18"/>
              </w:rPr>
              <w:t>Машини и вътрешен транспорт.</w:t>
            </w:r>
          </w:p>
        </w:tc>
        <w:tc>
          <w:tcPr>
            <w:tcW w:w="3969" w:type="dxa"/>
            <w:vAlign w:val="center"/>
          </w:tcPr>
          <w:p w:rsidR="004E4B4F" w:rsidRDefault="00AF5400">
            <w:r>
              <w:rPr>
                <w:sz w:val="18"/>
              </w:rPr>
              <w:t>Техническа поддръжка, закрити производствени зони, организационен режим.</w:t>
            </w:r>
          </w:p>
        </w:tc>
      </w:tr>
      <w:tr w:rsidR="004E4B4F">
        <w:trPr>
          <w:jc w:val="center"/>
        </w:trPr>
        <w:tc>
          <w:tcPr>
            <w:tcW w:w="1701" w:type="dxa"/>
            <w:vAlign w:val="center"/>
          </w:tcPr>
          <w:p w:rsidR="004E4B4F" w:rsidRDefault="00AF5400">
            <w:r>
              <w:rPr>
                <w:sz w:val="18"/>
              </w:rPr>
              <w:t>Отпадъци</w:t>
            </w:r>
          </w:p>
        </w:tc>
        <w:tc>
          <w:tcPr>
            <w:tcW w:w="3402" w:type="dxa"/>
            <w:vAlign w:val="center"/>
          </w:tcPr>
          <w:p w:rsidR="004E4B4F" w:rsidRDefault="00AF5400">
            <w:r>
              <w:rPr>
                <w:sz w:val="18"/>
              </w:rPr>
              <w:t>Остатъчни фракции, прах, метални примеси.</w:t>
            </w:r>
          </w:p>
        </w:tc>
        <w:tc>
          <w:tcPr>
            <w:tcW w:w="3969" w:type="dxa"/>
            <w:vAlign w:val="center"/>
          </w:tcPr>
          <w:p w:rsidR="004E4B4F" w:rsidRDefault="00AF5400">
            <w:r>
              <w:rPr>
                <w:sz w:val="18"/>
              </w:rPr>
              <w:t>Разделно събиране, отчетност, предаване на лица с разрешения.</w:t>
            </w:r>
          </w:p>
        </w:tc>
      </w:tr>
      <w:tr w:rsidR="004E4B4F">
        <w:trPr>
          <w:jc w:val="center"/>
        </w:trPr>
        <w:tc>
          <w:tcPr>
            <w:tcW w:w="1701" w:type="dxa"/>
            <w:vAlign w:val="center"/>
          </w:tcPr>
          <w:p w:rsidR="004E4B4F" w:rsidRDefault="00AF5400">
            <w:r>
              <w:rPr>
                <w:sz w:val="18"/>
              </w:rPr>
              <w:t>Пожар</w:t>
            </w:r>
          </w:p>
        </w:tc>
        <w:tc>
          <w:tcPr>
            <w:tcW w:w="3402" w:type="dxa"/>
            <w:vAlign w:val="center"/>
          </w:tcPr>
          <w:p w:rsidR="004E4B4F" w:rsidRDefault="00AF5400">
            <w:r>
              <w:rPr>
                <w:sz w:val="18"/>
              </w:rPr>
              <w:t>Пластмасови материали са горими при неправилна организация.</w:t>
            </w:r>
          </w:p>
        </w:tc>
        <w:tc>
          <w:tcPr>
            <w:tcW w:w="3969" w:type="dxa"/>
            <w:vAlign w:val="center"/>
          </w:tcPr>
          <w:p w:rsidR="004E4B4F" w:rsidRDefault="00AF5400">
            <w:r>
              <w:rPr>
                <w:sz w:val="18"/>
              </w:rPr>
              <w:t>Пожарни разстояния, системи за сигнализация, поддръжка, обучение и контрол.</w:t>
            </w:r>
          </w:p>
        </w:tc>
      </w:tr>
    </w:tbl>
    <w:p w:rsidR="004E4B4F" w:rsidRDefault="00AF5400">
      <w:pPr>
        <w:pStyle w:val="1"/>
      </w:pPr>
      <w:r>
        <w:rPr>
          <w:rFonts w:ascii="Arial" w:hAnsi="Arial"/>
        </w:rPr>
        <w:t>20. План за вътрешен екологичен контрол</w:t>
      </w:r>
    </w:p>
    <w:p w:rsidR="004E4B4F" w:rsidRDefault="00AF5400">
      <w:pPr>
        <w:spacing w:after="100" w:line="252" w:lineRule="auto"/>
      </w:pPr>
      <w:r>
        <w:t>За да се гарантира постоянен контрол, възложителят ще въведе вътрешна система за екологично управление, включваща:</w:t>
      </w:r>
    </w:p>
    <w:p w:rsidR="004E4B4F" w:rsidRDefault="00AF5400">
      <w:pPr>
        <w:pStyle w:val="a0"/>
      </w:pPr>
      <w:r>
        <w:t>регистър на входящите материали, кодове, доставчици, количества и документи;</w:t>
      </w:r>
    </w:p>
    <w:p w:rsidR="004E4B4F" w:rsidRDefault="00AF5400">
      <w:pPr>
        <w:pStyle w:val="a0"/>
      </w:pPr>
      <w:r>
        <w:t>процедура за отказ на материали извън обхвата;</w:t>
      </w:r>
    </w:p>
    <w:p w:rsidR="004E4B4F" w:rsidRDefault="00AF5400">
      <w:pPr>
        <w:pStyle w:val="a0"/>
      </w:pPr>
      <w:r>
        <w:t>пробовземане и качествен контрол;</w:t>
      </w:r>
    </w:p>
    <w:p w:rsidR="004E4B4F" w:rsidRDefault="00AF5400">
      <w:pPr>
        <w:pStyle w:val="a0"/>
      </w:pPr>
      <w:r>
        <w:t>ежедневен контрол на чистота, прах, складови зони и противопожарни проходи;</w:t>
      </w:r>
    </w:p>
    <w:p w:rsidR="004E4B4F" w:rsidRDefault="00AF5400">
      <w:pPr>
        <w:pStyle w:val="a0"/>
      </w:pPr>
      <w:r>
        <w:t>периодична поддръжка на аспирация, филтри, водни системи, електрооборудване и машини;</w:t>
      </w:r>
    </w:p>
    <w:p w:rsidR="004E4B4F" w:rsidRDefault="00AF5400">
      <w:pPr>
        <w:pStyle w:val="a0"/>
      </w:pPr>
      <w:r>
        <w:t>отчетност за остатъчни фракции и предаване на разрешени оператори;</w:t>
      </w:r>
    </w:p>
    <w:p w:rsidR="004E4B4F" w:rsidRDefault="00AF5400">
      <w:pPr>
        <w:pStyle w:val="a0"/>
      </w:pPr>
      <w:r>
        <w:t>обучение на персонала и документиране на инструктажи;</w:t>
      </w:r>
    </w:p>
    <w:p w:rsidR="004E4B4F" w:rsidRDefault="00AF5400">
      <w:pPr>
        <w:pStyle w:val="a0"/>
      </w:pPr>
      <w:r>
        <w:t>готовност за предоставяне на данни на компетентните органи.</w:t>
      </w:r>
    </w:p>
    <w:p w:rsidR="004E4B4F" w:rsidRDefault="00AF5400">
      <w:pPr>
        <w:pStyle w:val="1"/>
      </w:pPr>
      <w:r>
        <w:rPr>
          <w:rFonts w:ascii="Arial" w:hAnsi="Arial"/>
        </w:rPr>
        <w:lastRenderedPageBreak/>
        <w:t>21. Екологична и икономическа полза</w:t>
      </w:r>
    </w:p>
    <w:p w:rsidR="004E4B4F" w:rsidRDefault="00AF5400">
      <w:pPr>
        <w:spacing w:after="100" w:line="252" w:lineRule="auto"/>
      </w:pPr>
      <w:r>
        <w:t>Проектът подкрепя кръговата икономика чрез връщане на пластмасови материали обратно в индустрията, намаляване на необходимостта от първични полимерни суровини, ограничаване на депонирането и изгарянето на пластмаси, повишаване на ресурсната ефективност и създаване на местна техническа заетост.</w:t>
      </w:r>
    </w:p>
    <w:p w:rsidR="004E4B4F" w:rsidRDefault="00AF5400">
      <w:pPr>
        <w:spacing w:after="100" w:line="252" w:lineRule="auto"/>
      </w:pPr>
      <w:r>
        <w:t>Чрез съчетаване на NIR, sortex, електростатична сепарация и качествен контрол се цели производство на по-чисти и по-стабилни пластмасови фракции, подходящи за индустриална употреба.</w:t>
      </w:r>
    </w:p>
    <w:p w:rsidR="004E4B4F" w:rsidRDefault="00AF5400">
      <w:pPr>
        <w:pStyle w:val="1"/>
      </w:pPr>
      <w:r>
        <w:rPr>
          <w:rFonts w:ascii="Arial" w:hAnsi="Arial"/>
        </w:rPr>
        <w:t>22. Заключение на професионалната екологична концепция</w:t>
      </w:r>
    </w:p>
    <w:p w:rsidR="004E4B4F" w:rsidRDefault="00AF5400">
      <w:pPr>
        <w:spacing w:after="100" w:line="252" w:lineRule="auto"/>
      </w:pPr>
      <w:r>
        <w:t xml:space="preserve">Инвестиционното предложение на „Глобъл Скилс Пластик </w:t>
      </w:r>
      <w:proofErr w:type="gramStart"/>
      <w:r>
        <w:t>Солюшън“ ООД</w:t>
      </w:r>
      <w:proofErr w:type="gramEnd"/>
      <w:r>
        <w:t xml:space="preserve"> представлява контролирана индустриална инсталация за третиране, оползотворяване и рециклиране на неопасни пластмасови материали с производство на вторични суровини. Проектът е насочен към техническа класификация, полимерно разделяне, електростатична сепарация, NIR разпознаване, sortex, механична подготовка, гранулиране и подготовка на индустриална суровина.</w:t>
      </w:r>
    </w:p>
    <w:p w:rsidR="004E4B4F" w:rsidRDefault="00AF5400">
      <w:pPr>
        <w:spacing w:after="100" w:line="252" w:lineRule="auto"/>
      </w:pPr>
      <w:r>
        <w:t>Проектът не е общински боклук, не е смесен битов отпадък, не е органична или опасна дейност, не е депониране и не е изгаряне. Основният му предмет е оползотворяване на пластмасови по своя характер и неопасни материали при контролирана технологична, противопожарна и екологична организация.</w:t>
      </w:r>
    </w:p>
    <w:p w:rsidR="004E4B4F" w:rsidRDefault="00AF5400">
      <w:pPr>
        <w:spacing w:after="100" w:line="252" w:lineRule="auto"/>
      </w:pPr>
      <w:r>
        <w:t>С оглед на изложеното, инвестиционното предложение може да бъде разглеждано като индустриален Plastic Solution проект с положителен принос към ресурсната ефективност, заетостта, повторното използване на материали и кръговата икономика, при спазване на условията, указанията и разрешителните режими, определени от компетентните органи.</w:t>
      </w:r>
    </w:p>
    <w:p w:rsidR="004E4B4F" w:rsidRDefault="00AF5400">
      <w:pPr>
        <w:pStyle w:val="1"/>
      </w:pPr>
      <w:r>
        <w:rPr>
          <w:rFonts w:ascii="Arial" w:hAnsi="Arial"/>
        </w:rPr>
        <w:t>Приложения</w:t>
      </w:r>
    </w:p>
    <w:p w:rsidR="004E4B4F" w:rsidRDefault="00AF5400">
      <w:pPr>
        <w:spacing w:after="100" w:line="252" w:lineRule="auto"/>
      </w:pPr>
      <w:r>
        <w:rPr>
          <w:i/>
        </w:rPr>
        <w:t>Следните приложения са неразделна част от концепцията и визуално подкрепят описаните процеси, разположение и имотни данни.</w:t>
      </w:r>
    </w:p>
    <w:p w:rsidR="004E4B4F" w:rsidRDefault="00AF5400">
      <w:pPr>
        <w:pStyle w:val="21"/>
      </w:pPr>
      <w:r>
        <w:rPr>
          <w:rFonts w:ascii="Arial" w:hAnsi="Arial"/>
        </w:rPr>
        <w:t>Приложение 1 – Технологична схема: входящ материал – обработка – изходящ продукт</w:t>
      </w:r>
    </w:p>
    <w:p w:rsidR="004E4B4F" w:rsidRDefault="00AF5400">
      <w:pPr>
        <w:jc w:val="center"/>
      </w:pPr>
      <w:r>
        <w:rPr>
          <w:noProof/>
          <w:lang w:val="bg-BG" w:eastAsia="bg-BG"/>
        </w:rPr>
        <w:drawing>
          <wp:inline distT="0" distB="0" distL="0" distR="0">
            <wp:extent cx="6126480" cy="33876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SPS_Velingrad_BG_flow_diagram_full_bg.png"/>
                    <pic:cNvPicPr/>
                  </pic:nvPicPr>
                  <pic:blipFill>
                    <a:blip r:embed="rId8"/>
                    <a:stretch>
                      <a:fillRect/>
                    </a:stretch>
                  </pic:blipFill>
                  <pic:spPr>
                    <a:xfrm>
                      <a:off x="0" y="0"/>
                      <a:ext cx="6126480" cy="3387693"/>
                    </a:xfrm>
                    <a:prstGeom prst="rect">
                      <a:avLst/>
                    </a:prstGeom>
                  </pic:spPr>
                </pic:pic>
              </a:graphicData>
            </a:graphic>
          </wp:inline>
        </w:drawing>
      </w:r>
    </w:p>
    <w:p w:rsidR="004E4B4F" w:rsidRDefault="00AF5400">
      <w:pPr>
        <w:jc w:val="center"/>
      </w:pPr>
      <w:r>
        <w:rPr>
          <w:i/>
          <w:color w:val="444444"/>
          <w:sz w:val="18"/>
        </w:rPr>
        <w:lastRenderedPageBreak/>
        <w:t>Схемата показва контролирания технологичен поток от прием на пластмасови и неопасни материали до готова индустриална суровина.</w:t>
      </w:r>
    </w:p>
    <w:p w:rsidR="004E4B4F" w:rsidRDefault="00AF5400">
      <w:pPr>
        <w:pStyle w:val="21"/>
      </w:pPr>
      <w:r>
        <w:rPr>
          <w:rFonts w:ascii="Arial" w:hAnsi="Arial"/>
        </w:rPr>
        <w:t>Приложение 2 – Концептуална схема на производственото разположение</w:t>
      </w:r>
    </w:p>
    <w:p w:rsidR="004E4B4F" w:rsidRDefault="00AF5400">
      <w:pPr>
        <w:jc w:val="center"/>
      </w:pPr>
      <w:r>
        <w:rPr>
          <w:noProof/>
          <w:lang w:val="bg-BG" w:eastAsia="bg-BG"/>
        </w:rPr>
        <w:drawing>
          <wp:inline distT="0" distB="0" distL="0" distR="0">
            <wp:extent cx="6126480" cy="433496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SPS_Velingrad_BG_conceptual_facility_layout.png"/>
                    <pic:cNvPicPr/>
                  </pic:nvPicPr>
                  <pic:blipFill>
                    <a:blip r:embed="rId9"/>
                    <a:stretch>
                      <a:fillRect/>
                    </a:stretch>
                  </pic:blipFill>
                  <pic:spPr>
                    <a:xfrm>
                      <a:off x="0" y="0"/>
                      <a:ext cx="6126480" cy="4334967"/>
                    </a:xfrm>
                    <a:prstGeom prst="rect">
                      <a:avLst/>
                    </a:prstGeom>
                  </pic:spPr>
                </pic:pic>
              </a:graphicData>
            </a:graphic>
          </wp:inline>
        </w:drawing>
      </w:r>
    </w:p>
    <w:p w:rsidR="004E4B4F" w:rsidRDefault="00AF5400">
      <w:pPr>
        <w:jc w:val="center"/>
      </w:pPr>
      <w:r>
        <w:rPr>
          <w:i/>
          <w:color w:val="444444"/>
          <w:sz w:val="18"/>
        </w:rPr>
        <w:t>Концептуално разположение на зоните: вход/изход, прием, производствени линии, вътрешна логистика, склад, водно стопанство, трансформатор и разширение.</w:t>
      </w:r>
    </w:p>
    <w:p w:rsidR="004E4B4F" w:rsidRDefault="00AF5400">
      <w:pPr>
        <w:pStyle w:val="21"/>
      </w:pPr>
      <w:r>
        <w:rPr>
          <w:rFonts w:ascii="Arial" w:hAnsi="Arial"/>
        </w:rPr>
        <w:lastRenderedPageBreak/>
        <w:t>Приложение 3 – Скица на поземлен имот 10450.502.2596</w:t>
      </w:r>
    </w:p>
    <w:p w:rsidR="004E4B4F" w:rsidRDefault="00AF5400">
      <w:pPr>
        <w:jc w:val="center"/>
      </w:pPr>
      <w:r>
        <w:rPr>
          <w:noProof/>
          <w:lang w:val="bg-BG" w:eastAsia="bg-BG"/>
        </w:rPr>
        <w:drawing>
          <wp:inline distT="0" distB="0" distL="0" distR="0">
            <wp:extent cx="5669280" cy="8020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ica_page_1.png"/>
                    <pic:cNvPicPr/>
                  </pic:nvPicPr>
                  <pic:blipFill>
                    <a:blip r:embed="rId10"/>
                    <a:stretch>
                      <a:fillRect/>
                    </a:stretch>
                  </pic:blipFill>
                  <pic:spPr>
                    <a:xfrm>
                      <a:off x="0" y="0"/>
                      <a:ext cx="5669280" cy="8020050"/>
                    </a:xfrm>
                    <a:prstGeom prst="rect">
                      <a:avLst/>
                    </a:prstGeom>
                  </pic:spPr>
                </pic:pic>
              </a:graphicData>
            </a:graphic>
          </wp:inline>
        </w:drawing>
      </w:r>
    </w:p>
    <w:p w:rsidR="004E4B4F" w:rsidRDefault="00AF5400">
      <w:pPr>
        <w:jc w:val="center"/>
      </w:pPr>
      <w:r>
        <w:rPr>
          <w:i/>
          <w:color w:val="444444"/>
          <w:sz w:val="18"/>
        </w:rPr>
        <w:t>Скица на имота – страница 1: идентификатор, адрес, площ и планова схема.</w:t>
      </w:r>
    </w:p>
    <w:p w:rsidR="004E4B4F" w:rsidRDefault="00AF5400">
      <w:pPr>
        <w:jc w:val="center"/>
      </w:pPr>
      <w:r>
        <w:rPr>
          <w:noProof/>
          <w:lang w:val="bg-BG" w:eastAsia="bg-BG"/>
        </w:rPr>
        <w:lastRenderedPageBreak/>
        <w:drawing>
          <wp:inline distT="0" distB="0" distL="0" distR="0">
            <wp:extent cx="5669280" cy="8020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ica_page_2.png"/>
                    <pic:cNvPicPr/>
                  </pic:nvPicPr>
                  <pic:blipFill>
                    <a:blip r:embed="rId11"/>
                    <a:stretch>
                      <a:fillRect/>
                    </a:stretch>
                  </pic:blipFill>
                  <pic:spPr>
                    <a:xfrm>
                      <a:off x="0" y="0"/>
                      <a:ext cx="5669280" cy="8020050"/>
                    </a:xfrm>
                    <a:prstGeom prst="rect">
                      <a:avLst/>
                    </a:prstGeom>
                  </pic:spPr>
                </pic:pic>
              </a:graphicData>
            </a:graphic>
          </wp:inline>
        </w:drawing>
      </w:r>
    </w:p>
    <w:p w:rsidR="004E4B4F" w:rsidRDefault="00AF5400">
      <w:pPr>
        <w:jc w:val="center"/>
      </w:pPr>
      <w:r>
        <w:rPr>
          <w:i/>
          <w:color w:val="444444"/>
          <w:sz w:val="18"/>
        </w:rPr>
        <w:t>Скица на имота – страница 2: съседи, собственик и сгради в имота.</w:t>
      </w:r>
    </w:p>
    <w:p w:rsidR="004E4B4F" w:rsidRDefault="00AF5400">
      <w:pPr>
        <w:pStyle w:val="21"/>
      </w:pPr>
      <w:r>
        <w:rPr>
          <w:rFonts w:ascii="Arial" w:hAnsi="Arial"/>
        </w:rPr>
        <w:t>Приложение 4 – Ключови контролни принципи</w:t>
      </w:r>
    </w:p>
    <w:p w:rsidR="004E4B4F" w:rsidRDefault="00AF5400">
      <w:pPr>
        <w:pStyle w:val="a0"/>
      </w:pPr>
      <w:r>
        <w:t>Приемат се само пластмасови по своя характер и неопасни материали.</w:t>
      </w:r>
    </w:p>
    <w:p w:rsidR="004E4B4F" w:rsidRDefault="00AF5400">
      <w:pPr>
        <w:pStyle w:val="a0"/>
      </w:pPr>
      <w:r>
        <w:lastRenderedPageBreak/>
        <w:t>Не се приемат смесени битови, органични, медицински, опасни или общински отпадъци.</w:t>
      </w:r>
    </w:p>
    <w:p w:rsidR="004E4B4F" w:rsidRDefault="00AF5400">
      <w:pPr>
        <w:pStyle w:val="a0"/>
      </w:pPr>
      <w:r>
        <w:t>Всички входящи материали се проверяват по документи, произход, код и визуални характеристики.</w:t>
      </w:r>
    </w:p>
    <w:p w:rsidR="004E4B4F" w:rsidRDefault="00AF5400">
      <w:pPr>
        <w:pStyle w:val="a0"/>
      </w:pPr>
      <w:r>
        <w:t>Остатъчните фракции се отделят и предават по нормативен ред.</w:t>
      </w:r>
    </w:p>
    <w:p w:rsidR="004E4B4F" w:rsidRDefault="00AF5400">
      <w:pPr>
        <w:pStyle w:val="a0"/>
      </w:pPr>
      <w:r>
        <w:t>Водата се управлява чрез филтрация, електрокоагулация и обратна осмоза.</w:t>
      </w:r>
    </w:p>
    <w:p w:rsidR="004E4B4F" w:rsidRDefault="00AF5400">
      <w:pPr>
        <w:pStyle w:val="a0"/>
      </w:pPr>
      <w:r>
        <w:t>Прахът се контролира чрез аспирация, филтри, затворени транспортьори и редовна поддръжка.</w:t>
      </w:r>
    </w:p>
    <w:p w:rsidR="004E4B4F" w:rsidRDefault="00AF5400">
      <w:pPr>
        <w:pStyle w:val="a0"/>
      </w:pPr>
      <w:r>
        <w:t>Пожарната безопасност е интегрирана чрез складова организация, проходи, сигнализация, гасене, поддръжка и обучение.</w:t>
      </w:r>
    </w:p>
    <w:p w:rsidR="004E4B4F" w:rsidRDefault="00AF5400">
      <w:pPr>
        <w:spacing w:after="100" w:line="252" w:lineRule="auto"/>
      </w:pPr>
      <w:r>
        <w:br/>
        <w:t>С уважение,</w:t>
      </w:r>
    </w:p>
    <w:p w:rsidR="004E4B4F" w:rsidRDefault="00AF5400">
      <w:pPr>
        <w:spacing w:after="100" w:line="252" w:lineRule="auto"/>
      </w:pPr>
      <w:r>
        <w:t>____________________</w:t>
      </w:r>
      <w:r w:rsidR="00E71703">
        <w:t>_______________</w:t>
      </w:r>
      <w:r w:rsidR="00E71703">
        <w:br/>
        <w:t>Управител</w:t>
      </w:r>
      <w:r w:rsidR="00E71703">
        <w:br/>
        <w:t>„Глоб</w:t>
      </w:r>
      <w:r w:rsidR="00E71703">
        <w:rPr>
          <w:lang w:val="bg-BG"/>
        </w:rPr>
        <w:t>у</w:t>
      </w:r>
      <w:r w:rsidR="00E71703">
        <w:t>л Скилс Пластик Сол</w:t>
      </w:r>
      <w:r w:rsidR="00E71703">
        <w:rPr>
          <w:lang w:val="bg-BG"/>
        </w:rPr>
        <w:t>у</w:t>
      </w:r>
      <w:r>
        <w:t>шън“ ООД</w:t>
      </w:r>
    </w:p>
    <w:sectPr w:rsidR="004E4B4F" w:rsidSect="00034616">
      <w:footerReference w:type="default" r:id="rId12"/>
      <w:pgSz w:w="12240" w:h="15840"/>
      <w:pgMar w:top="1020" w:right="1134" w:bottom="90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00DB" w:rsidRDefault="004000DB" w:rsidP="004E4B4F">
      <w:pPr>
        <w:spacing w:after="0" w:line="240" w:lineRule="auto"/>
      </w:pPr>
      <w:r>
        <w:separator/>
      </w:r>
    </w:p>
  </w:endnote>
  <w:endnote w:type="continuationSeparator" w:id="0">
    <w:p w:rsidR="004000DB" w:rsidRDefault="004000DB" w:rsidP="004E4B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ourier">
    <w:panose1 w:val="02070309020205020404"/>
    <w:charset w:val="00"/>
    <w:family w:val="modern"/>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4B4F" w:rsidRDefault="00AF5400">
    <w:pPr>
      <w:pStyle w:val="a7"/>
      <w:jc w:val="center"/>
    </w:pPr>
    <w:r>
      <w:rPr>
        <w:color w:val="666666"/>
        <w:sz w:val="16"/>
      </w:rPr>
      <w:t>Globul Skills Plastic Solution OOD – Професионална екологична концепция – Велинград</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00DB" w:rsidRDefault="004000DB" w:rsidP="004E4B4F">
      <w:pPr>
        <w:spacing w:after="0" w:line="240" w:lineRule="auto"/>
      </w:pPr>
      <w:r>
        <w:separator/>
      </w:r>
    </w:p>
  </w:footnote>
  <w:footnote w:type="continuationSeparator" w:id="0">
    <w:p w:rsidR="004000DB" w:rsidRDefault="004000DB" w:rsidP="004E4B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34616"/>
    <w:rsid w:val="0006063C"/>
    <w:rsid w:val="0015074B"/>
    <w:rsid w:val="0029639D"/>
    <w:rsid w:val="00326F90"/>
    <w:rsid w:val="004000DB"/>
    <w:rsid w:val="004E4B4F"/>
    <w:rsid w:val="005E7B69"/>
    <w:rsid w:val="0076538A"/>
    <w:rsid w:val="00AA1D8D"/>
    <w:rsid w:val="00AF5400"/>
    <w:rsid w:val="00B47730"/>
    <w:rsid w:val="00CB0664"/>
    <w:rsid w:val="00CE37A4"/>
    <w:rsid w:val="00DB39C0"/>
    <w:rsid w:val="00E71703"/>
    <w:rsid w:val="00EC4559"/>
    <w:rsid w:val="00FC693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72DB361A-DA9C-48AA-8165-1258C86B4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FC693F"/>
    <w:rPr>
      <w:rFonts w:ascii="Arial" w:hAnsi="Arial"/>
      <w:sz w:val="20"/>
    </w:rPr>
  </w:style>
  <w:style w:type="paragraph" w:styleId="1">
    <w:name w:val="heading 1"/>
    <w:basedOn w:val="a1"/>
    <w:next w:val="a1"/>
    <w:link w:val="10"/>
    <w:uiPriority w:val="9"/>
    <w:qFormat/>
    <w:rsid w:val="00FC693F"/>
    <w:pPr>
      <w:keepNext/>
      <w:keepLines/>
      <w:spacing w:before="480" w:after="0"/>
      <w:outlineLvl w:val="0"/>
    </w:pPr>
    <w:rPr>
      <w:rFonts w:asciiTheme="majorHAnsi" w:eastAsiaTheme="majorEastAsia" w:hAnsiTheme="majorHAnsi" w:cstheme="majorBidi"/>
      <w:b/>
      <w:bCs/>
      <w:color w:val="1F4E79"/>
      <w:sz w:val="28"/>
      <w:szCs w:val="28"/>
    </w:rPr>
  </w:style>
  <w:style w:type="paragraph" w:styleId="21">
    <w:name w:val="heading 2"/>
    <w:basedOn w:val="a1"/>
    <w:next w:val="a1"/>
    <w:link w:val="22"/>
    <w:uiPriority w:val="9"/>
    <w:unhideWhenUsed/>
    <w:qFormat/>
    <w:rsid w:val="00FC693F"/>
    <w:pPr>
      <w:keepNext/>
      <w:keepLines/>
      <w:spacing w:before="200" w:after="0"/>
      <w:outlineLvl w:val="1"/>
    </w:pPr>
    <w:rPr>
      <w:rFonts w:asciiTheme="majorHAnsi" w:eastAsiaTheme="majorEastAsia" w:hAnsiTheme="majorHAnsi" w:cstheme="majorBidi"/>
      <w:b/>
      <w:bCs/>
      <w:color w:val="1F4E79"/>
      <w:sz w:val="24"/>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1F4E79"/>
      <w:sz w:val="22"/>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Горен колонтитул Знак"/>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Долен колонтитул Знак"/>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Заглавие 1 Знак"/>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Заглавие 2 Знак"/>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Заглавие 3 Знак"/>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Заглавие Знак"/>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Подзаглавие Знак"/>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pPr>
      <w:spacing w:after="120"/>
    </w:pPr>
  </w:style>
  <w:style w:type="character" w:customStyle="1" w:styleId="af0">
    <w:name w:val="Основен текст Знак"/>
    <w:basedOn w:val="a2"/>
    <w:link w:val="af"/>
    <w:uiPriority w:val="99"/>
    <w:rsid w:val="00AA1D8D"/>
  </w:style>
  <w:style w:type="paragraph" w:styleId="23">
    <w:name w:val="Body Text 2"/>
    <w:basedOn w:val="a1"/>
    <w:link w:val="24"/>
    <w:uiPriority w:val="99"/>
    <w:unhideWhenUsed/>
    <w:rsid w:val="00AA1D8D"/>
    <w:pPr>
      <w:spacing w:after="120" w:line="480" w:lineRule="auto"/>
    </w:pPr>
  </w:style>
  <w:style w:type="character" w:customStyle="1" w:styleId="24">
    <w:name w:val="Основен текст 2 Знак"/>
    <w:basedOn w:val="a2"/>
    <w:link w:val="23"/>
    <w:uiPriority w:val="99"/>
    <w:rsid w:val="00AA1D8D"/>
  </w:style>
  <w:style w:type="paragraph" w:styleId="33">
    <w:name w:val="Body Text 3"/>
    <w:basedOn w:val="a1"/>
    <w:link w:val="34"/>
    <w:uiPriority w:val="99"/>
    <w:unhideWhenUsed/>
    <w:rsid w:val="00AA1D8D"/>
    <w:pPr>
      <w:spacing w:after="120"/>
    </w:pPr>
    <w:rPr>
      <w:sz w:val="16"/>
      <w:szCs w:val="16"/>
    </w:rPr>
  </w:style>
  <w:style w:type="character" w:customStyle="1" w:styleId="34">
    <w:name w:val="Основен текст 3 Знак"/>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spacing w:after="120"/>
      <w:ind w:left="360"/>
      <w:contextualSpacing/>
    </w:pPr>
  </w:style>
  <w:style w:type="paragraph" w:styleId="26">
    <w:name w:val="List Continue 2"/>
    <w:basedOn w:val="a1"/>
    <w:uiPriority w:val="99"/>
    <w:unhideWhenUsed/>
    <w:rsid w:val="0029639D"/>
    <w:pPr>
      <w:spacing w:after="120"/>
      <w:ind w:left="720"/>
      <w:contextualSpacing/>
    </w:pPr>
  </w:style>
  <w:style w:type="paragraph" w:styleId="36">
    <w:name w:val="List Continue 3"/>
    <w:basedOn w:val="a1"/>
    <w:uiPriority w:val="99"/>
    <w:unhideWhenUsed/>
    <w:rsid w:val="0029639D"/>
    <w:pPr>
      <w:spacing w:after="120"/>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Текст на макрос Знак"/>
    <w:basedOn w:val="a2"/>
    <w:link w:val="af3"/>
    <w:uiPriority w:val="99"/>
    <w:rsid w:val="0029639D"/>
    <w:rPr>
      <w:rFonts w:ascii="Courier" w:hAnsi="Courier"/>
      <w:sz w:val="20"/>
      <w:szCs w:val="20"/>
    </w:rPr>
  </w:style>
  <w:style w:type="paragraph" w:styleId="af5">
    <w:name w:val="Quote"/>
    <w:basedOn w:val="a1"/>
    <w:next w:val="a1"/>
    <w:link w:val="af6"/>
    <w:uiPriority w:val="29"/>
    <w:qFormat/>
    <w:rsid w:val="00FC693F"/>
    <w:rPr>
      <w:i/>
      <w:iCs/>
      <w:color w:val="000000" w:themeColor="text1"/>
    </w:rPr>
  </w:style>
  <w:style w:type="character" w:customStyle="1" w:styleId="af6">
    <w:name w:val="Цитат Знак"/>
    <w:basedOn w:val="a2"/>
    <w:link w:val="af5"/>
    <w:uiPriority w:val="29"/>
    <w:rsid w:val="00FC693F"/>
    <w:rPr>
      <w:i/>
      <w:iCs/>
      <w:color w:val="000000" w:themeColor="text1"/>
    </w:rPr>
  </w:style>
  <w:style w:type="character" w:customStyle="1" w:styleId="40">
    <w:name w:val="Заглавие 4 Знак"/>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Заглавие 5 Знак"/>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Заглавие 6 Знак"/>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Заглавие 7 Знак"/>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Заглавие 8 Знак"/>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Заглавие 9 Знак"/>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7">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8">
    <w:name w:val="Strong"/>
    <w:basedOn w:val="a2"/>
    <w:uiPriority w:val="22"/>
    <w:qFormat/>
    <w:rsid w:val="00FC693F"/>
    <w:rPr>
      <w:b/>
      <w:bCs/>
    </w:rPr>
  </w:style>
  <w:style w:type="character" w:styleId="af9">
    <w:name w:val="Emphasis"/>
    <w:basedOn w:val="a2"/>
    <w:uiPriority w:val="20"/>
    <w:qFormat/>
    <w:rsid w:val="00FC693F"/>
    <w:rPr>
      <w:i/>
      <w:iCs/>
    </w:rPr>
  </w:style>
  <w:style w:type="paragraph" w:styleId="afa">
    <w:name w:val="Intense Quote"/>
    <w:basedOn w:val="a1"/>
    <w:next w:val="a1"/>
    <w:link w:val="afb"/>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b">
    <w:name w:val="Интензивно цитиране Знак"/>
    <w:basedOn w:val="a2"/>
    <w:link w:val="afa"/>
    <w:uiPriority w:val="30"/>
    <w:rsid w:val="00FC693F"/>
    <w:rPr>
      <w:b/>
      <w:bCs/>
      <w:i/>
      <w:iCs/>
      <w:color w:val="4F81BD" w:themeColor="accent1"/>
    </w:rPr>
  </w:style>
  <w:style w:type="character" w:styleId="afc">
    <w:name w:val="Subtle Emphasis"/>
    <w:basedOn w:val="a2"/>
    <w:uiPriority w:val="19"/>
    <w:qFormat/>
    <w:rsid w:val="00FC693F"/>
    <w:rPr>
      <w:i/>
      <w:iCs/>
      <w:color w:val="808080" w:themeColor="text1" w:themeTint="7F"/>
    </w:rPr>
  </w:style>
  <w:style w:type="character" w:styleId="afd">
    <w:name w:val="Intense Emphasis"/>
    <w:basedOn w:val="a2"/>
    <w:uiPriority w:val="21"/>
    <w:qFormat/>
    <w:rsid w:val="00FC693F"/>
    <w:rPr>
      <w:b/>
      <w:bCs/>
      <w:i/>
      <w:iCs/>
      <w:color w:val="4F81BD" w:themeColor="accent1"/>
    </w:rPr>
  </w:style>
  <w:style w:type="character" w:styleId="afe">
    <w:name w:val="Subtle Reference"/>
    <w:basedOn w:val="a2"/>
    <w:uiPriority w:val="31"/>
    <w:qFormat/>
    <w:rsid w:val="00FC693F"/>
    <w:rPr>
      <w:smallCaps/>
      <w:color w:val="C0504D" w:themeColor="accent2"/>
      <w:u w:val="single"/>
    </w:rPr>
  </w:style>
  <w:style w:type="character" w:styleId="aff">
    <w:name w:val="Intense Reference"/>
    <w:basedOn w:val="a2"/>
    <w:uiPriority w:val="32"/>
    <w:qFormat/>
    <w:rsid w:val="00FC693F"/>
    <w:rPr>
      <w:b/>
      <w:bCs/>
      <w:smallCaps/>
      <w:color w:val="C0504D" w:themeColor="accent2"/>
      <w:spacing w:val="5"/>
      <w:u w:val="single"/>
    </w:rPr>
  </w:style>
  <w:style w:type="character" w:styleId="aff0">
    <w:name w:val="Book Title"/>
    <w:basedOn w:val="a2"/>
    <w:uiPriority w:val="33"/>
    <w:qFormat/>
    <w:rsid w:val="00FC693F"/>
    <w:rPr>
      <w:b/>
      <w:bCs/>
      <w:smallCaps/>
      <w:spacing w:val="5"/>
    </w:rPr>
  </w:style>
  <w:style w:type="paragraph" w:styleId="aff1">
    <w:name w:val="TOC Heading"/>
    <w:basedOn w:val="1"/>
    <w:next w:val="a1"/>
    <w:uiPriority w:val="39"/>
    <w:semiHidden/>
    <w:unhideWhenUsed/>
    <w:qFormat/>
    <w:rsid w:val="00FC693F"/>
    <w:pPr>
      <w:outlineLvl w:val="9"/>
    </w:pPr>
  </w:style>
  <w:style w:type="table" w:styleId="aff2">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3">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4">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5">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6">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7">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8">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9">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affa">
    <w:name w:val="Balloon Text"/>
    <w:basedOn w:val="a1"/>
    <w:link w:val="affb"/>
    <w:uiPriority w:val="99"/>
    <w:semiHidden/>
    <w:unhideWhenUsed/>
    <w:rsid w:val="00E71703"/>
    <w:pPr>
      <w:spacing w:after="0" w:line="240" w:lineRule="auto"/>
    </w:pPr>
    <w:rPr>
      <w:rFonts w:ascii="Tahoma" w:hAnsi="Tahoma" w:cs="Tahoma"/>
      <w:sz w:val="16"/>
      <w:szCs w:val="16"/>
    </w:rPr>
  </w:style>
  <w:style w:type="character" w:customStyle="1" w:styleId="affb">
    <w:name w:val="Изнесен текст Знак"/>
    <w:basedOn w:val="a2"/>
    <w:link w:val="affa"/>
    <w:uiPriority w:val="99"/>
    <w:semiHidden/>
    <w:rsid w:val="00E7170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0D48EF-6A21-4ED3-934A-77039134C9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3500</Words>
  <Characters>19951</Characters>
  <Application>Microsoft Office Word</Application>
  <DocSecurity>0</DocSecurity>
  <Lines>166</Lines>
  <Paragraphs>46</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23405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User4</cp:lastModifiedBy>
  <cp:revision>6</cp:revision>
  <dcterms:created xsi:type="dcterms:W3CDTF">2026-06-04T11:18:00Z</dcterms:created>
  <dcterms:modified xsi:type="dcterms:W3CDTF">2026-06-04T11:26:00Z</dcterms:modified>
  <cp:category/>
</cp:coreProperties>
</file>